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F70">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501095</w:t>
      </w:r>
      <w:bookmarkStart w:id="7" w:name="_GoBack"/>
      <w:bookmarkEnd w:id="7"/>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3ADB2E0B">
      <w:pPr>
        <w:tabs>
          <w:tab w:val="left" w:pos="1985"/>
        </w:tabs>
        <w:rPr>
          <w:rFonts w:ascii="Times New Roman" w:hAnsi="Times New Roman"/>
          <w:b/>
          <w:sz w:val="22"/>
          <w:highlight w:val="none"/>
        </w:rPr>
      </w:pPr>
    </w:p>
    <w:p w14:paraId="7027D5FD">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1FCBB455">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4BA4A0E5">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positioning</w:t>
      </w:r>
    </w:p>
    <w:bookmarkEnd w:id="4"/>
    <w:bookmarkEnd w:id="5"/>
    <w:p w14:paraId="5949F04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5B7223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FDD65FA">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59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E490231">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279E7639">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069F371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7FBAE60B">
            <w:pPr>
              <w:numPr>
                <w:ilvl w:val="0"/>
                <w:numId w:val="0"/>
              </w:numPr>
              <w:spacing w:after="0"/>
              <w:ind w:left="-60" w:leftChars="0"/>
              <w:rPr>
                <w:rFonts w:hint="default" w:ascii="Times New Roman" w:hAnsi="Times New Roman" w:cs="Times New Roman"/>
                <w:bCs/>
                <w:sz w:val="20"/>
                <w:szCs w:val="20"/>
              </w:rPr>
            </w:pPr>
          </w:p>
          <w:p w14:paraId="0933FA76">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59FC650C">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40F1C0CD">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11C221A9">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1CD5C7D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4D0660FE">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30AC70FA">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5A512C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6262D19C">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positioning.</w:t>
      </w:r>
    </w:p>
    <w:p w14:paraId="2C9595C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96B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23DFB25">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2-1-1: Define a requirement on absolute position for case 1</w:t>
            </w:r>
          </w:p>
          <w:p w14:paraId="623DFB26">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23DFB27">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Consider to define a requirement using a test metric of 3-D distance (CATT proposal 1 if feasible, CMCC proposal 1, Apple proposal 1 dependent on whether RAN1/2 decide on reporting position, vivo proposal 2, Nokia proposal 5)</w:t>
            </w:r>
          </w:p>
          <w:p w14:paraId="623DFB28">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Defining a general requirement is not feasible / do not define (Ericsson proposal 1, Oppo, Huawei proposal 1)</w:t>
            </w:r>
          </w:p>
          <w:p w14:paraId="19F32609">
            <w:pPr>
              <w:pStyle w:val="15"/>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sz w:val="20"/>
                <w:szCs w:val="20"/>
                <w:lang w:eastAsia="zh-CN"/>
              </w:rPr>
              <w:t>Option 3: Postpone decision on requirements until RAN 1/2 signalling is clear (Qualcomm proposal 2, ZTE proposal 2, vivo proposal 8)</w:t>
            </w:r>
          </w:p>
        </w:tc>
      </w:tr>
    </w:tbl>
    <w:p w14:paraId="59994B40">
      <w:pPr>
        <w:spacing w:after="180" w:line="240" w:lineRule="exact"/>
        <w:rPr>
          <w:rFonts w:hint="eastAsia" w:ascii="Times New Roman" w:hAnsi="Times New Roman" w:eastAsia="等线" w:cs="Times New Roman"/>
          <w:bCs/>
          <w:iCs/>
          <w:sz w:val="20"/>
          <w:szCs w:val="20"/>
          <w:lang w:val="en-US" w:eastAsia="zh-CN"/>
        </w:rPr>
      </w:pPr>
    </w:p>
    <w:p w14:paraId="41EC11D3">
      <w:pPr>
        <w:spacing w:after="180" w:line="240" w:lineRule="exact"/>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 xml:space="preserve">For case 1, we support to define requirements. Case 1 is </w:t>
      </w:r>
      <w:r>
        <w:rPr>
          <w:rFonts w:hint="eastAsia" w:ascii="Times New Roman" w:hAnsi="Times New Roman" w:eastAsia="等线"/>
          <w:bCs/>
          <w:iCs/>
          <w:sz w:val="20"/>
          <w:szCs w:val="20"/>
          <w:lang w:val="en-US" w:eastAsia="zh-CN"/>
        </w:rPr>
        <w:t>d</w:t>
      </w:r>
      <w:r>
        <w:rPr>
          <w:rFonts w:ascii="Times New Roman" w:hAnsi="Times New Roman"/>
          <w:bCs/>
          <w:iCs/>
          <w:sz w:val="20"/>
          <w:szCs w:val="20"/>
        </w:rPr>
        <w:t>irect AI/ML positioning</w:t>
      </w:r>
      <w:r>
        <w:rPr>
          <w:rFonts w:hint="eastAsia" w:ascii="Times New Roman" w:hAnsi="Times New Roman"/>
          <w:bCs/>
          <w:iCs/>
          <w:sz w:val="20"/>
          <w:szCs w:val="20"/>
          <w:lang w:val="en-US" w:eastAsia="zh-CN"/>
        </w:rPr>
        <w:t xml:space="preserve">. Different from assisted positioning, the output of AI/ML model is UE position, which is new for RAN4. This use case is representative and need to be verified. </w:t>
      </w:r>
    </w:p>
    <w:p w14:paraId="0D10F72B">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discussion in previous meetings, proponents of option 1 have concern to define requirements for the reason that UE may not report positioning. Whether UE can report position is still under discussion in other WGs. Following is the duplication of RAN1 agreements. It can be seen that one of the options (option B-1) is that inference results of the target UE is sent by the target UE to LMF.  Even though this is for model performance monitoring, but at least it can be seen the inference results can be reported to LMF if option B-1 is adopted. Taking above into consideration, it is proposed to define </w:t>
      </w:r>
      <w:r>
        <w:rPr>
          <w:rFonts w:hint="default" w:ascii="Times New Roman" w:hAnsi="Times New Roman" w:eastAsia="宋体" w:cs="Times New Roman"/>
          <w:color w:val="auto"/>
          <w:sz w:val="20"/>
          <w:szCs w:val="20"/>
          <w:lang w:eastAsia="zh-CN"/>
        </w:rPr>
        <w:t>requirements for case 1</w:t>
      </w:r>
      <w:r>
        <w:rPr>
          <w:rFonts w:hint="default" w:ascii="Times New Roman" w:hAnsi="Times New Roman" w:eastAsia="Yu Mincho" w:cs="Times New Roman"/>
          <w:color w:val="auto"/>
          <w:sz w:val="20"/>
          <w:szCs w:val="20"/>
          <w:lang w:eastAsia="ja-JP"/>
        </w:rPr>
        <w:t xml:space="preserve"> </w:t>
      </w:r>
      <w:r>
        <w:rPr>
          <w:rFonts w:hint="eastAsia" w:ascii="Times New Roman" w:hAnsi="Times New Roman" w:eastAsia="等线" w:cs="Times New Roman"/>
          <w:bCs/>
          <w:iCs/>
          <w:sz w:val="20"/>
          <w:szCs w:val="20"/>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CB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2C8F637">
            <w:pPr>
              <w:ind w:left="0" w:firstLine="0"/>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val="en-US" w:eastAsia="zh-CN"/>
              </w:rPr>
              <w:t>Agreement</w:t>
            </w:r>
            <w:r>
              <w:rPr>
                <w:rFonts w:hint="default" w:ascii="Times New Roman" w:hAnsi="Times New Roman" w:eastAsia="等线" w:cs="Times New Roman"/>
                <w:sz w:val="20"/>
                <w:szCs w:val="20"/>
                <w:highlight w:val="none"/>
                <w:lang w:val="en-US" w:eastAsia="zh-CN"/>
              </w:rPr>
              <w:t xml:space="preserve"> </w:t>
            </w:r>
            <w:r>
              <w:rPr>
                <w:rFonts w:hint="default" w:ascii="Times New Roman" w:hAnsi="Times New Roman" w:eastAsia="等线" w:cs="Times New Roman"/>
                <w:b/>
                <w:bCs/>
                <w:sz w:val="20"/>
                <w:szCs w:val="20"/>
                <w:highlight w:val="none"/>
                <w:lang w:val="en-US" w:eastAsia="zh-CN"/>
              </w:rPr>
              <w:t>in RAN1 #116bis</w:t>
            </w:r>
          </w:p>
          <w:p w14:paraId="2030F57F">
            <w:pPr>
              <w:ind w:left="0" w:firstLine="0"/>
              <w:rPr>
                <w:rFonts w:hint="default" w:ascii="Times New Roman" w:hAnsi="Times New Roman" w:eastAsia="等线" w:cs="Times New Roman"/>
                <w:b/>
                <w:bCs/>
                <w:sz w:val="20"/>
                <w:szCs w:val="20"/>
                <w:highlight w:val="green"/>
                <w:lang w:val="en-US" w:eastAsia="zh-CN"/>
              </w:rPr>
            </w:pPr>
          </w:p>
          <w:p w14:paraId="408E3D93">
            <w:pPr>
              <w:ind w:left="0" w:firstLine="0"/>
              <w:rPr>
                <w:rFonts w:hint="default" w:ascii="Times New Roman" w:hAnsi="Times New Roman" w:cs="Times New Roman"/>
                <w:strike/>
                <w:sz w:val="20"/>
                <w:szCs w:val="20"/>
              </w:rPr>
            </w:pPr>
            <w:r>
              <w:rPr>
                <w:rFonts w:hint="default"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Pr>
                <w:rFonts w:hint="default" w:ascii="Times New Roman" w:hAnsi="Times New Roman" w:eastAsia="等线" w:cs="Times New Roman"/>
                <w:sz w:val="20"/>
                <w:szCs w:val="20"/>
                <w:lang w:eastAsia="zh-CN"/>
              </w:rPr>
              <w:t xml:space="preserve">potential </w:t>
            </w:r>
            <w:r>
              <w:rPr>
                <w:rFonts w:hint="default" w:ascii="Times New Roman" w:hAnsi="Times New Roman" w:cs="Times New Roman"/>
                <w:sz w:val="20"/>
                <w:szCs w:val="20"/>
              </w:rPr>
              <w:t xml:space="preserve">specification impact of the following options with regard to how to generate information on ground truth label: </w:t>
            </w:r>
          </w:p>
          <w:p w14:paraId="45D6E4AA">
            <w:pPr>
              <w:widowControl w:val="0"/>
              <w:numPr>
                <w:ilvl w:val="0"/>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 The target UE side performs monitoring metric calculation. </w:t>
            </w:r>
          </w:p>
          <w:p w14:paraId="26BC4E1B">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A-1. At least information on ground truth label of the target UE is generated by LMF and provided to the target UE. </w:t>
            </w:r>
          </w:p>
          <w:p w14:paraId="6A944CD4">
            <w:pPr>
              <w:widowControl w:val="0"/>
              <w:numPr>
                <w:ilvl w:val="2"/>
                <w:numId w:val="8"/>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one example, target UE and/or gNB sends measurement (e.g., legacy measurement) to LMF so that LMF can derive the information on ground truth label.</w:t>
            </w:r>
          </w:p>
          <w:p w14:paraId="42FEBC98">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A-2. At least position calculation assistance data (e.g., existing information for UE-based positioning method) is provided from LMF to the target UE.</w:t>
            </w:r>
          </w:p>
          <w:p w14:paraId="602C9E61">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A-3. Reuse Rel-18 assistance data transfer framework from LMF to the target UE, where the PRU measurement (e.g., legacy measurement) and the corresponding PRU location are sent via LMF to the target UE. </w:t>
            </w:r>
          </w:p>
          <w:p w14:paraId="54822F42">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A-4. PRU measurement (and the corresponding PRU location if not already known at the UE-side) are sent from PRU to the target UE side. </w:t>
            </w:r>
          </w:p>
          <w:p w14:paraId="20EDC36E">
            <w:pPr>
              <w:widowControl w:val="0"/>
              <w:numPr>
                <w:ilvl w:val="2"/>
                <w:numId w:val="8"/>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Option A-4 can be realized by implementation in a manner transparent to specification if the PRU sends information to the target UE side in a proprietary method.</w:t>
            </w:r>
          </w:p>
          <w:p w14:paraId="7250EF1D">
            <w:pPr>
              <w:widowControl w:val="0"/>
              <w:numPr>
                <w:ilvl w:val="0"/>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B. The LMF performs monitoring metric calculation.</w:t>
            </w:r>
          </w:p>
          <w:p w14:paraId="36A2095A">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 xml:space="preserve">Option B-1. </w:t>
            </w:r>
            <w:r>
              <w:rPr>
                <w:rFonts w:hint="default" w:ascii="Times New Roman" w:hAnsi="Times New Roman" w:cs="Times New Roman"/>
                <w:sz w:val="20"/>
                <w:szCs w:val="20"/>
                <w:lang w:val="en-US" w:eastAsia="zh-CN"/>
              </w:rPr>
              <w:t xml:space="preserve">at least </w:t>
            </w:r>
            <w:r>
              <w:rPr>
                <w:rFonts w:hint="default" w:ascii="Times New Roman" w:hAnsi="Times New Roman" w:eastAsia="宋体" w:cs="Times New Roman"/>
                <w:sz w:val="20"/>
                <w:szCs w:val="20"/>
                <w:lang w:val="en-US" w:eastAsia="zh-CN"/>
              </w:rPr>
              <w:t>inference result</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(i.e., the model output corresponding to target UE’s channel measurement) </w:t>
            </w:r>
            <w:r>
              <w:rPr>
                <w:rFonts w:hint="default" w:ascii="Times New Roman" w:hAnsi="Times New Roman" w:cs="Times New Roman"/>
                <w:sz w:val="20"/>
                <w:szCs w:val="20"/>
                <w:lang w:val="en-US" w:eastAsia="zh-CN"/>
              </w:rPr>
              <w:t>of the target UE</w:t>
            </w:r>
            <w:r>
              <w:rPr>
                <w:rFonts w:hint="default" w:ascii="Times New Roman" w:hAnsi="Times New Roman" w:eastAsia="宋体" w:cs="Times New Roman"/>
                <w:sz w:val="20"/>
                <w:szCs w:val="20"/>
                <w:lang w:val="en-US" w:eastAsia="zh-CN"/>
              </w:rPr>
              <w:t xml:space="preserve"> is sent by the target UE to </w:t>
            </w:r>
            <w:r>
              <w:rPr>
                <w:rFonts w:hint="default" w:ascii="Times New Roman" w:hAnsi="Times New Roman" w:cs="Times New Roman"/>
                <w:sz w:val="20"/>
                <w:szCs w:val="20"/>
                <w:lang w:val="en-US" w:eastAsia="zh-CN"/>
              </w:rPr>
              <w:t xml:space="preserve">LMF. </w:t>
            </w:r>
          </w:p>
          <w:p w14:paraId="7C17E1EA">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Option B-2. </w:t>
            </w:r>
            <w:r>
              <w:rPr>
                <w:rFonts w:hint="default" w:ascii="Times New Roman" w:hAnsi="Times New Roman" w:cs="Times New Roman"/>
                <w:sz w:val="20"/>
                <w:szCs w:val="20"/>
                <w:lang w:val="en-US" w:eastAsia="zh-CN"/>
              </w:rPr>
              <w:t>PRU</w:t>
            </w:r>
            <w:r>
              <w:rPr>
                <w:rFonts w:hint="default" w:ascii="Times New Roman" w:hAnsi="Times New Roman" w:eastAsia="宋体"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channel </w:t>
            </w:r>
            <w:r>
              <w:rPr>
                <w:rFonts w:hint="default" w:ascii="Times New Roman" w:hAnsi="Times New Roman" w:cs="Times New Roman"/>
                <w:sz w:val="20"/>
                <w:szCs w:val="20"/>
                <w:lang w:val="en-US" w:eastAsia="zh-CN"/>
              </w:rPr>
              <w:t>measurement is sent via LMF to the target UE</w:t>
            </w:r>
            <w:r>
              <w:rPr>
                <w:rFonts w:hint="default" w:ascii="Times New Roman" w:hAnsi="Times New Roman" w:eastAsia="宋体" w:cs="Times New Roman"/>
                <w:sz w:val="20"/>
                <w:szCs w:val="20"/>
                <w:lang w:val="en-US" w:eastAsia="zh-CN"/>
              </w:rPr>
              <w:t xml:space="preserve">, and the inference result (i.e., the model output corresponding to PRU’s channel measurement) is sent by the target UE to </w:t>
            </w:r>
            <w:r>
              <w:rPr>
                <w:rFonts w:hint="default" w:ascii="Times New Roman" w:hAnsi="Times New Roman" w:cs="Times New Roman"/>
                <w:sz w:val="20"/>
                <w:szCs w:val="20"/>
                <w:lang w:val="en-US" w:eastAsia="zh-CN"/>
              </w:rPr>
              <w:t>LMF.</w:t>
            </w:r>
          </w:p>
          <w:p w14:paraId="2275A9BC">
            <w:pPr>
              <w:ind w:left="0" w:firstLine="0"/>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Note: exact method to perform the monitoring metric calculation is up to implementation. </w:t>
            </w:r>
          </w:p>
          <w:p w14:paraId="1C61DB53">
            <w:pPr>
              <w:ind w:left="0" w:firstLine="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Other options are not precluded.</w:t>
            </w:r>
          </w:p>
          <w:p w14:paraId="70DA1071">
            <w:pPr>
              <w:spacing w:after="180" w:line="240" w:lineRule="exact"/>
              <w:rPr>
                <w:rFonts w:hint="default" w:ascii="Times New Roman" w:hAnsi="Times New Roman" w:eastAsia="等线" w:cs="Times New Roman"/>
                <w:bCs/>
                <w:iCs/>
                <w:sz w:val="20"/>
                <w:szCs w:val="20"/>
                <w:vertAlign w:val="baseline"/>
                <w:lang w:val="en-US" w:eastAsia="zh-CN"/>
              </w:rPr>
            </w:pPr>
          </w:p>
          <w:p w14:paraId="6CC1D332">
            <w:pPr>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eastAsia="zh-CN"/>
              </w:rPr>
              <w:t>Conclusion</w:t>
            </w:r>
            <w:r>
              <w:rPr>
                <w:rFonts w:hint="default" w:ascii="Times New Roman" w:hAnsi="Times New Roman" w:eastAsia="等线" w:cs="Times New Roman"/>
                <w:b/>
                <w:bCs/>
                <w:sz w:val="20"/>
                <w:szCs w:val="20"/>
                <w:highlight w:val="none"/>
                <w:lang w:val="en-US" w:eastAsia="zh-CN"/>
              </w:rPr>
              <w:t xml:space="preserve"> in RAN1 #118</w:t>
            </w:r>
          </w:p>
          <w:p w14:paraId="7A51AB83">
            <w:pPr>
              <w:rPr>
                <w:rFonts w:hint="default" w:ascii="Times New Roman" w:hAnsi="Times New Roman" w:cs="Times New Roman"/>
                <w:sz w:val="20"/>
                <w:szCs w:val="20"/>
              </w:rPr>
            </w:pPr>
            <w:r>
              <w:rPr>
                <w:rFonts w:hint="default" w:ascii="Times New Roman" w:hAnsi="Times New Roman" w:cs="Times New Roman"/>
                <w:sz w:val="20"/>
                <w:szCs w:val="20"/>
              </w:rPr>
              <w:t>For model performance monitoring of AI/ML positioning Case 1, for model performance monitoring metric calculation in label-based model monitoring,</w:t>
            </w:r>
          </w:p>
          <w:p w14:paraId="6F50236B">
            <w:pPr>
              <w:pStyle w:val="15"/>
              <w:numPr>
                <w:ilvl w:val="0"/>
                <w:numId w:val="9"/>
              </w:numPr>
              <w:suppressAutoHyphens/>
              <w:spacing w:after="160" w:line="276" w:lineRule="auto"/>
              <w:ind w:left="84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Calibri" w:cs="Times New Roman"/>
                <w:sz w:val="20"/>
                <w:szCs w:val="20"/>
                <w:lang w:val="de-DE"/>
              </w:rPr>
              <w:t>Option A-4 can be realized by implementation in a manner transparent to specification</w:t>
            </w:r>
            <w:r>
              <w:rPr>
                <w:rFonts w:hint="default" w:ascii="Times New Roman" w:hAnsi="Times New Roman" w:cs="Times New Roman"/>
                <w:sz w:val="20"/>
                <w:szCs w:val="20"/>
                <w:lang w:val="en-US"/>
              </w:rPr>
              <w:t xml:space="preserve"> </w:t>
            </w:r>
            <w:r>
              <w:rPr>
                <w:rFonts w:hint="default" w:ascii="Times New Roman" w:hAnsi="Times New Roman" w:eastAsia="Calibri" w:cs="Times New Roman"/>
                <w:sz w:val="20"/>
                <w:szCs w:val="20"/>
                <w:lang w:val="de-DE"/>
              </w:rPr>
              <w:t>specification if the PRU sends information to the target UE side in a proprietary method. No further discussion on</w:t>
            </w:r>
            <w:r>
              <w:rPr>
                <w:rFonts w:hint="default" w:ascii="Times New Roman" w:hAnsi="Times New Roman" w:cs="Times New Roman"/>
                <w:sz w:val="20"/>
                <w:szCs w:val="20"/>
                <w:lang w:val="en-US"/>
              </w:rPr>
              <w:t xml:space="preserve"> Option A-4.</w:t>
            </w:r>
          </w:p>
        </w:tc>
      </w:tr>
    </w:tbl>
    <w:p w14:paraId="03F2FEF0">
      <w:pPr>
        <w:spacing w:after="180" w:line="240" w:lineRule="exact"/>
        <w:rPr>
          <w:rFonts w:hint="default" w:ascii="Times New Roman" w:hAnsi="Times New Roman" w:eastAsia="等线" w:cs="Times New Roman"/>
          <w:bCs/>
          <w:iCs/>
          <w:sz w:val="20"/>
          <w:szCs w:val="20"/>
          <w:lang w:val="en-US" w:eastAsia="zh-CN"/>
        </w:rPr>
      </w:pPr>
    </w:p>
    <w:p w14:paraId="11D5D581">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Also, RAN2 agreed to reuse existing LPP procedures related to Location Information Transfer to provide the UE sided model inference results to network.</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0C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1593AB">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Agreements in RAN2#126 meeting</w:t>
            </w:r>
          </w:p>
          <w:p w14:paraId="1D591DFB">
            <w:pPr>
              <w:numPr>
                <w:ilvl w:val="0"/>
                <w:numId w:val="10"/>
              </w:numPr>
              <w:spacing w:before="240" w:after="160" w:line="280" w:lineRule="atLeast"/>
              <w:jc w:val="both"/>
              <w:rPr>
                <w:rFonts w:hint="default" w:ascii="Times New Roman" w:hAnsi="Times New Roman" w:cs="Times New Roman"/>
                <w:sz w:val="20"/>
                <w:szCs w:val="20"/>
                <w:highlight w:val="none"/>
                <w:lang w:val="en-US" w:eastAsia="en-GB"/>
              </w:rPr>
            </w:pPr>
            <w:r>
              <w:rPr>
                <w:rFonts w:hint="default" w:ascii="Times New Roman" w:hAnsi="Times New Roman" w:cs="Times New Roman"/>
                <w:sz w:val="20"/>
                <w:szCs w:val="20"/>
                <w:highlight w:val="none"/>
                <w:lang w:val="en-US" w:eastAsia="en-GB"/>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6F76621E">
            <w:pPr>
              <w:numPr>
                <w:ilvl w:val="0"/>
                <w:numId w:val="10"/>
              </w:numPr>
              <w:spacing w:before="240" w:after="160" w:line="280" w:lineRule="atLeast"/>
              <w:jc w:val="both"/>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lang w:val="en-US" w:eastAsia="en-GB"/>
              </w:rPr>
              <w:t>wait for RAN1 for associate ID discussion</w:t>
            </w:r>
          </w:p>
          <w:p w14:paraId="0878DA69">
            <w:pPr>
              <w:numPr>
                <w:ilvl w:val="0"/>
                <w:numId w:val="10"/>
              </w:numPr>
              <w:spacing w:before="240" w:after="160" w:line="280" w:lineRule="atLeast"/>
              <w:jc w:val="both"/>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lang w:eastAsia="en-GB"/>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tc>
      </w:tr>
    </w:tbl>
    <w:p w14:paraId="1B8D1261">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  </w:t>
      </w:r>
    </w:p>
    <w:p w14:paraId="3E5F5414">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bCs/>
          <w:iCs/>
          <w:sz w:val="20"/>
          <w:szCs w:val="20"/>
          <w:lang w:val="en-US" w:eastAsia="zh-CN"/>
        </w:rPr>
        <w:t>As for the details of reuirements for case 1. At least positioning accuracy can be condiered, which is the difference between ground truth (real position) and reported position. In detail, our initial consideration is that the positioning accuracy could be the difference in meters/sub-meters between reported position and ground truth labels in each dimension of x-axis and y-axis. But we are also open for other options. As for the ground truth labels, according to RAN1 discussion, LMF can derive the ground truth label, e.g. target UE and/or gNB sends measurement (e.g., legacy measurement) to LMF so that LMF can derive the information on ground truth label, or PRU can be considered. In the test, the ground truth could be settled by TE.</w:t>
      </w:r>
    </w:p>
    <w:p w14:paraId="42AC2C0D">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requirements. </w:t>
      </w:r>
      <w:r>
        <w:rPr>
          <w:rFonts w:hint="eastAsia" w:ascii="Times New Roman" w:hAnsi="Times New Roman"/>
          <w:b/>
          <w:bCs w:val="0"/>
          <w:i/>
          <w:iCs w:val="0"/>
          <w:sz w:val="20"/>
          <w:szCs w:val="20"/>
          <w:u w:val="none"/>
          <w:lang w:val="en-US" w:eastAsia="zh-CN"/>
        </w:rPr>
        <w:t>At least positioning accuracy can be defined, which is the difference between ground truth (real position) and reported position.</w:t>
      </w:r>
      <w:r>
        <w:rPr>
          <w:rFonts w:hint="eastAsia" w:ascii="Times New Roman" w:hAnsi="Times New Roman" w:eastAsia="等线" w:cs="Times New Roman"/>
          <w:b/>
          <w:bCs w:val="0"/>
          <w:i/>
          <w:iCs w:val="0"/>
          <w:sz w:val="20"/>
          <w:szCs w:val="20"/>
          <w:u w:val="none"/>
          <w:lang w:val="en-US" w:eastAsia="zh-CN"/>
        </w:rPr>
        <w:t xml:space="preserve"> </w:t>
      </w:r>
    </w:p>
    <w:p w14:paraId="440532E6">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case 2a and case 2b, it was agreed in May meeting that there are no requirements on LMF for positioning accuracy, and FFS on RAN4 requirements for any UE reported measurements defined by other groups [4]. In last meeting, it was further confirmed that  RAN4 should not define any positioning accuracy requirements because positioning is LMF based. As for reported metrics for Case 2a, it was agreed that RAN4 will take existing requirements for existing metrics as baseline, and will study how to define requirement for any new reported metrics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E6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noWrap w:val="0"/>
            <w:vAlign w:val="top"/>
          </w:tcPr>
          <w:p w14:paraId="4E5AD4CD">
            <w:pPr>
              <w:ind w:left="0" w:firstLine="0"/>
              <w:rPr>
                <w:rFonts w:hint="default" w:ascii="Times New Roman" w:hAnsi="Times New Roman" w:eastAsia="等线" w:cs="Times New Roman"/>
                <w:b/>
                <w:bCs/>
                <w:sz w:val="20"/>
                <w:szCs w:val="20"/>
                <w:highlight w:val="green"/>
                <w:lang w:val="en-US" w:eastAsia="zh-CN"/>
              </w:rPr>
            </w:pPr>
            <w:r>
              <w:rPr>
                <w:rFonts w:hint="default" w:ascii="Times New Roman" w:hAnsi="Times New Roman" w:eastAsia="等线" w:cs="Times New Roman"/>
                <w:b/>
                <w:bCs/>
                <w:sz w:val="20"/>
                <w:szCs w:val="20"/>
                <w:highlight w:val="green"/>
                <w:lang w:eastAsia="zh-CN"/>
              </w:rPr>
              <w:t>Agreement</w:t>
            </w:r>
            <w:r>
              <w:rPr>
                <w:rFonts w:hint="eastAsia" w:ascii="Times New Roman" w:hAnsi="Times New Roman" w:eastAsia="等线" w:cs="Times New Roman"/>
                <w:b/>
                <w:bCs/>
                <w:sz w:val="20"/>
                <w:szCs w:val="20"/>
                <w:highlight w:val="green"/>
                <w:lang w:val="en-US" w:eastAsia="zh-CN"/>
              </w:rPr>
              <w:t xml:space="preserve"> in RAN1 #116</w:t>
            </w:r>
          </w:p>
          <w:p w14:paraId="6120B9E0">
            <w:pPr>
              <w:ind w:left="0" w:firstLine="0"/>
              <w:rPr>
                <w:rFonts w:hint="default" w:ascii="Times New Roman" w:hAnsi="Times New Roman" w:eastAsia="等线" w:cs="Times New Roman"/>
                <w:b/>
                <w:bCs/>
                <w:sz w:val="20"/>
                <w:szCs w:val="20"/>
                <w:highlight w:val="green"/>
                <w:lang w:eastAsia="zh-CN"/>
              </w:rPr>
            </w:pPr>
          </w:p>
          <w:p w14:paraId="6F33D3B4">
            <w:pPr>
              <w:ind w:left="0" w:firstLine="0"/>
              <w:rPr>
                <w:rFonts w:hint="default" w:ascii="Times New Roman" w:hAnsi="Times New Roman" w:cs="Times New Roman"/>
                <w:sz w:val="20"/>
                <w:szCs w:val="20"/>
              </w:rPr>
            </w:pPr>
            <w:r>
              <w:rPr>
                <w:rFonts w:hint="default" w:ascii="Times New Roman" w:hAnsi="Times New Roman" w:cs="Times New Roman"/>
                <w:sz w:val="20"/>
                <w:szCs w:val="20"/>
              </w:rPr>
              <w:t xml:space="preserve">For AI/ML assisted positioning Case 2a, at least LOS/NLOS indicator and/or timing information are supported for reporting. </w:t>
            </w:r>
          </w:p>
          <w:p w14:paraId="2422EA99">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LOS/NLOS indicator is reported, the indicator can be reported as soft indicator or hard indicator as defined in 38.214.</w:t>
            </w:r>
          </w:p>
          <w:p w14:paraId="4859637A">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timing information is reported, the timing information at least can be reported via DL RSTD or UE Rx-Tx time difference as defined in 38.215.</w:t>
            </w:r>
          </w:p>
          <w:p w14:paraId="1139A02D">
            <w:pPr>
              <w:widowControl w:val="0"/>
              <w:numPr>
                <w:ilvl w:val="0"/>
                <w:numId w:val="11"/>
              </w:numPr>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zh-CN"/>
              </w:rPr>
              <w:t>Note: details of the report are pending further discussion.</w:t>
            </w:r>
          </w:p>
          <w:p w14:paraId="1161BC06">
            <w:pPr>
              <w:widowControl w:val="0"/>
              <w:numPr>
                <w:ilvl w:val="0"/>
                <w:numId w:val="0"/>
              </w:numPr>
              <w:ind w:left="360" w:leftChars="0"/>
              <w:jc w:val="both"/>
              <w:rPr>
                <w:rFonts w:hint="default" w:ascii="Times New Roman" w:hAnsi="Times New Roman" w:eastAsia="等线" w:cs="Times New Roman"/>
                <w:bCs/>
                <w:iCs/>
                <w:sz w:val="20"/>
                <w:szCs w:val="20"/>
                <w:vertAlign w:val="baseline"/>
                <w:lang w:val="en-US" w:eastAsia="zh-CN"/>
              </w:rPr>
            </w:pPr>
          </w:p>
          <w:p w14:paraId="343CF98E">
            <w:pPr>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AI/ML based positioning case 2b, at least the following types of time domain channel measurements are supported for UE reporting to LMF: </w:t>
            </w:r>
          </w:p>
          <w:p w14:paraId="0E1A281D">
            <w:pPr>
              <w:widowControl w:val="0"/>
              <w:numPr>
                <w:ilvl w:val="0"/>
                <w:numId w:val="12"/>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timing information;</w:t>
            </w:r>
          </w:p>
          <w:p w14:paraId="6CAB1122">
            <w:pPr>
              <w:widowControl w:val="0"/>
              <w:numPr>
                <w:ilvl w:val="0"/>
                <w:numId w:val="12"/>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paired timing information and power information.</w:t>
            </w:r>
          </w:p>
          <w:p w14:paraId="4B602521">
            <w:pPr>
              <w:widowControl w:val="0"/>
              <w:numPr>
                <w:ilvl w:val="0"/>
                <w:numId w:val="0"/>
              </w:numPr>
              <w:jc w:val="both"/>
              <w:rPr>
                <w:rFonts w:hint="default" w:ascii="Times New Roman" w:hAnsi="Times New Roman" w:eastAsia="等线" w:cs="Times New Roman"/>
                <w:bCs/>
                <w:iCs/>
                <w:sz w:val="20"/>
                <w:szCs w:val="20"/>
                <w:vertAlign w:val="baseline"/>
                <w:lang w:val="en-US" w:eastAsia="zh-CN"/>
              </w:rPr>
            </w:pPr>
          </w:p>
        </w:tc>
      </w:tr>
    </w:tbl>
    <w:p w14:paraId="782CB25A">
      <w:pPr>
        <w:spacing w:after="180" w:line="240" w:lineRule="exact"/>
        <w:rPr>
          <w:rFonts w:hint="eastAsia" w:ascii="Times New Roman" w:hAnsi="Times New Roman" w:eastAsia="等线" w:cs="Times New Roman"/>
          <w:bCs/>
          <w:iCs/>
          <w:sz w:val="20"/>
          <w:szCs w:val="20"/>
          <w:lang w:val="en-US" w:eastAsia="zh-CN"/>
        </w:rPr>
      </w:pPr>
    </w:p>
    <w:p w14:paraId="71D6FE63">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RAN1 agreements, it was agreed that timing information are supported for reporting. If timing information is reported, the timing information at least can be reported via DL RSTD or UE Rx-Tx time difference as defined in 38.215. For case 2a, UE reported DL RSTD or UE Rx-Tx time difference, which is the output of AI/ML model, will be used as the input to the algorithm at LMF, which means that the performance of these timing information will have impact on the positioning accuracy. Based on above consideration, the DL RSTD or UE Rx-Tx time difference need to be  treated as intermediate performance metric, and it is necessary to specify the performance requirements. In last meeting, it was agreed that RAN4 will take existing requirements for existing metrics as baseline. Combined with RAN1 progress, at least legacy measurement accuracy requirements specified for RSTD and UE Rx-Tx time difference can be considered as baseline. In order to guarantee the positioning accuracy, the inference performance shall be no worse than legacy measurement requirements. What</w:t>
      </w:r>
      <w:r>
        <w:rPr>
          <w:rFonts w:hint="default" w:ascii="Times New Roman" w:hAnsi="Times New Roman" w:eastAsia="等线" w:cs="Times New Roman"/>
          <w:bCs/>
          <w:iCs/>
          <w:sz w:val="20"/>
          <w:szCs w:val="20"/>
          <w:lang w:val="en-US" w:eastAsia="zh-CN"/>
        </w:rPr>
        <w:t>’</w:t>
      </w:r>
      <w:r>
        <w:rPr>
          <w:rFonts w:hint="eastAsia" w:ascii="Times New Roman" w:hAnsi="Times New Roman" w:eastAsia="等线" w:cs="Times New Roman"/>
          <w:bCs/>
          <w:iCs/>
          <w:sz w:val="20"/>
          <w:szCs w:val="20"/>
          <w:lang w:val="en-US" w:eastAsia="zh-CN"/>
        </w:rPr>
        <w:t>s more, it is expected that AI/ML could have better performance, whether better measurement requirements can be specified can be further discussed.</w:t>
      </w:r>
    </w:p>
    <w:p w14:paraId="14527FD1">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addition to existing reported metrics, for AI/ML assisted positioning Case 2a, it was also agreed that LOS/NLOS indicator is supported for reporting. And if LOS/NLOS indicator is reported, the indicator can be reported as soft indicator or hard indicator as defined in 38.214. Case 2a is AI/ML assisted positioning (UE-assisted positioning with UE-side model) , LOS/NLOS indicator will be used as the input to the algorithm at LMF, which means that the performance of LOS/NLOS indicator will have impact on the positioning accuracy. Based on above consideration, the LOS/NLOS indicator need to be  treated as intermediate performance metric, and it is necessary to specify the performance requirements.</w:t>
      </w:r>
    </w:p>
    <w:p w14:paraId="568A891A">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Case 2b is direct AI/ML positioning (UE-assisted/LMF-based positioning with LMF-side model). RAN1 agreed that timing information and paired timing information and power information are supported for UE reporting to LMF.  In legacy positioning related measurement performed by UE, DL RSTD, UE Rx-Tx and PRS-RSRP are supported. For case 2b, the measurement results reported by UE are used as input for AI/ML model, similar like legacy method that the measurement reported by UE are used as input for LMF. It is necessary to discuss whether legacy measurement accuracy requirements for  DL RSTD, UE Rx-Tx and PRS-RSRP can be reused or better performance can be expected.   The reason to consider better measurement accuracy is that the measurement results are used as input for AI/ML model, except the measurement performance, the inference performance may also be impacted by other factors. In order to guarantee the positioning accuracy, may be better measurement performance are needed.  </w:t>
      </w:r>
    </w:p>
    <w:p w14:paraId="46B80080">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Case 2a and case 2b are second priority, and according to the revised WID, RAN1 will not discuss any proposals targeting 2nd priority issues in Q4 of 2024. Even though we think RAN1 also agreed the supported information for reporting, and RAN4 can discuss the related requirements. However, Moderator propose not to discuss these two cases in RAN4 in Q4 of 2024. We are also fine with moderator</w:t>
      </w:r>
      <w:r>
        <w:rPr>
          <w:rFonts w:hint="default" w:ascii="Times New Roman" w:hAnsi="Times New Roman" w:eastAsia="等线" w:cs="Times New Roman"/>
          <w:bCs/>
          <w:iCs/>
          <w:sz w:val="20"/>
          <w:szCs w:val="20"/>
          <w:lang w:val="en-US" w:eastAsia="zh-CN"/>
        </w:rPr>
        <w:t>’</w:t>
      </w:r>
      <w:r>
        <w:rPr>
          <w:rFonts w:hint="eastAsia" w:ascii="Times New Roman" w:hAnsi="Times New Roman" w:eastAsia="等线" w:cs="Times New Roman"/>
          <w:bCs/>
          <w:iCs/>
          <w:sz w:val="20"/>
          <w:szCs w:val="20"/>
          <w:lang w:val="en-US" w:eastAsia="zh-CN"/>
        </w:rPr>
        <w:t>s suggestion.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52A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23DFB97">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2-3-1: Need for requirements for case 3a/3b</w:t>
            </w:r>
          </w:p>
          <w:p w14:paraId="623DFB98">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Agreement from previous meeting:</w:t>
            </w:r>
          </w:p>
          <w:p w14:paraId="087D1325">
            <w:pPr>
              <w:spacing w:after="120"/>
              <w:rPr>
                <w:rFonts w:hint="default" w:ascii="Times New Roman" w:hAnsi="Times New Roman" w:cs="Times New Roman"/>
                <w:bCs/>
                <w:color w:val="0070C0"/>
                <w:sz w:val="20"/>
                <w:szCs w:val="20"/>
                <w:lang w:eastAsia="ko-KR"/>
              </w:rPr>
            </w:pPr>
            <w:r>
              <w:rPr>
                <w:rFonts w:hint="default" w:ascii="Times New Roman" w:hAnsi="Times New Roman" w:cs="Times New Roman"/>
                <w:sz w:val="20"/>
                <w:szCs w:val="20"/>
                <w:lang w:eastAsia="zh-CN"/>
              </w:rPr>
              <w:t>Extend applicability of existing report mappings for UL-RToA and UL SRS-RSRPP to report UL measurements for AI/ML based positioning use cases</w:t>
            </w:r>
            <w:r>
              <w:rPr>
                <w:rFonts w:hint="default" w:ascii="Times New Roman" w:hAnsi="Times New Roman" w:cs="Times New Roman"/>
                <w:sz w:val="20"/>
                <w:szCs w:val="20"/>
                <w:lang w:val="en-US" w:eastAsia="zh-CN"/>
              </w:rPr>
              <w:t xml:space="preserve"> 3a/3b</w:t>
            </w:r>
            <w:r>
              <w:rPr>
                <w:rFonts w:hint="default" w:ascii="Times New Roman" w:hAnsi="Times New Roman" w:cs="Times New Roman"/>
                <w:sz w:val="20"/>
                <w:szCs w:val="20"/>
                <w:lang w:eastAsia="zh-CN"/>
              </w:rPr>
              <w:t>.</w:t>
            </w:r>
          </w:p>
          <w:p w14:paraId="623DFB9A">
            <w:pPr>
              <w:rPr>
                <w:rFonts w:hint="default" w:ascii="Times New Roman" w:hAnsi="Times New Roman" w:cs="Times New Roman"/>
                <w:b/>
                <w:color w:val="0070C0"/>
                <w:sz w:val="20"/>
                <w:szCs w:val="20"/>
                <w:u w:val="single"/>
                <w:lang w:eastAsia="ko-KR"/>
              </w:rPr>
            </w:pPr>
          </w:p>
          <w:p w14:paraId="623DFB9B">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23DFB9C">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No RRM requirements for 3a/3b (CATT proposal 3, vivo proposal 7, Huawei proposal 7, Ericsson proposal 2, Nokia)</w:t>
            </w:r>
          </w:p>
          <w:p w14:paraId="623DFB9D">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Define performance accuracy requirements for measurements reported or performed at the gNB for cases 3a/3b (Apple proposals 7/8)</w:t>
            </w:r>
          </w:p>
          <w:p w14:paraId="623DFB9E">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Re-use legacy report mapping for UL-RTOA, UL SRS-RSRP and UL SRS-RSRPP (CMCC proposal 2)</w:t>
            </w:r>
          </w:p>
          <w:p w14:paraId="623DFB9F">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reuse legacy report mapping and accuracy requirements for gNB Rx-Tx time difference (CMCC proposal 4)</w:t>
            </w:r>
          </w:p>
          <w:p w14:paraId="623DFBA0">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5: No need to discuss testability unless RAN1 specifies new measurement types (Nokia proposal 5)</w:t>
            </w:r>
          </w:p>
          <w:p w14:paraId="0D4EAC7C">
            <w:pPr>
              <w:pStyle w:val="15"/>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sz w:val="20"/>
                <w:szCs w:val="20"/>
                <w:lang w:eastAsia="zh-CN"/>
              </w:rPr>
              <w:t>Option 6: Consider to define new report mapping (e.g., reporting range, reporting resolution) for at least UL-RTOA (case 3a) and SRS-RSRP/RSRPP (case 3b) in AIML positioning (Nokia proposals 9-13)</w:t>
            </w:r>
          </w:p>
        </w:tc>
      </w:tr>
    </w:tbl>
    <w:p w14:paraId="76A327CB">
      <w:pPr>
        <w:spacing w:after="180" w:line="240" w:lineRule="exact"/>
        <w:rPr>
          <w:rFonts w:hint="eastAsia" w:ascii="Times New Roman" w:hAnsi="Times New Roman" w:eastAsia="等线"/>
          <w:bCs/>
          <w:iCs/>
          <w:sz w:val="20"/>
          <w:szCs w:val="20"/>
          <w:lang w:val="en-US" w:eastAsia="zh-CN"/>
        </w:rPr>
      </w:pPr>
    </w:p>
    <w:p w14:paraId="1064F2E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RAN4#110 meeting, it was agreed that RAN4 will not define positioning accuracy requirements for case 3a/3b. Our interpretention about this agreement is that positioning accuracy here means eventual KPI, e.g. Ground truth vs. Reported positioinging, are not be specified for case 3a/3b, but it does not mean that intermediate KPIs (i.e. requirements for reported metrics) are not specified. Also, RAN1 has agreements on reporting for case 3a/3b. </w:t>
      </w:r>
    </w:p>
    <w:p w14:paraId="7BF8014F">
      <w:pPr>
        <w:pStyle w:val="18"/>
      </w:pPr>
      <w:r>
        <w:t>-</w:t>
      </w:r>
      <w:r>
        <w:tab/>
      </w:r>
      <w:r>
        <w:t>Case 3a: NG-RAN node assisted positioning with gNB-side model, AI/ML assisted positioning</w:t>
      </w:r>
    </w:p>
    <w:p w14:paraId="2FF75042">
      <w:pPr>
        <w:pStyle w:val="18"/>
      </w:pPr>
      <w:r>
        <w:t>-</w:t>
      </w:r>
      <w:r>
        <w:tab/>
      </w:r>
      <w:r>
        <w:t>Case 3b: NG-RAN node assisted positioning with LMF-side model, direct AI/ML positioning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71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A467CF0">
            <w:pPr>
              <w:ind w:left="0" w:firstLine="0"/>
              <w:rPr>
                <w:rFonts w:hint="default" w:ascii="Times New Roman" w:hAnsi="Times New Roman" w:eastAsia="等线" w:cs="Times New Roman"/>
                <w:b/>
                <w:bCs/>
                <w:sz w:val="20"/>
                <w:szCs w:val="20"/>
                <w:highlight w:val="green"/>
                <w:lang w:val="en-US" w:eastAsia="zh-CN"/>
              </w:rPr>
            </w:pPr>
            <w:r>
              <w:rPr>
                <w:rFonts w:hint="default" w:ascii="Times New Roman" w:hAnsi="Times New Roman" w:eastAsia="等线" w:cs="Times New Roman"/>
                <w:b/>
                <w:bCs/>
                <w:sz w:val="20"/>
                <w:szCs w:val="20"/>
                <w:highlight w:val="green"/>
                <w:lang w:eastAsia="zh-CN"/>
              </w:rPr>
              <w:t>Agreement</w:t>
            </w:r>
            <w:r>
              <w:rPr>
                <w:rFonts w:hint="default" w:ascii="Times New Roman" w:hAnsi="Times New Roman" w:eastAsia="等线" w:cs="Times New Roman"/>
                <w:b/>
                <w:bCs/>
                <w:sz w:val="20"/>
                <w:szCs w:val="20"/>
                <w:highlight w:val="green"/>
                <w:lang w:val="en-US" w:eastAsia="zh-CN"/>
              </w:rPr>
              <w:t xml:space="preserve"> in RAN1 #116</w:t>
            </w:r>
          </w:p>
          <w:p w14:paraId="77FBE27E">
            <w:pPr>
              <w:ind w:left="0" w:firstLine="0"/>
              <w:rPr>
                <w:rFonts w:hint="default" w:ascii="Times New Roman" w:hAnsi="Times New Roman" w:eastAsia="等线" w:cs="Times New Roman"/>
                <w:b/>
                <w:bCs/>
                <w:sz w:val="20"/>
                <w:szCs w:val="20"/>
                <w:highlight w:val="green"/>
                <w:lang w:val="en-US" w:eastAsia="zh-CN"/>
              </w:rPr>
            </w:pPr>
          </w:p>
          <w:p w14:paraId="19580E89">
            <w:pPr>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AI/ML based positioning case 3b, at least the following types of time domain channel measurements are supported for reporting: </w:t>
            </w:r>
          </w:p>
          <w:p w14:paraId="26853C68">
            <w:pPr>
              <w:widowControl w:val="0"/>
              <w:numPr>
                <w:ilvl w:val="0"/>
                <w:numId w:val="13"/>
              </w:numPr>
              <w:ind w:left="851" w:hanging="425"/>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timing information;</w:t>
            </w:r>
          </w:p>
          <w:p w14:paraId="405DE24C">
            <w:pPr>
              <w:widowControl w:val="0"/>
              <w:numPr>
                <w:ilvl w:val="0"/>
                <w:numId w:val="13"/>
              </w:numPr>
              <w:ind w:left="851" w:hanging="425"/>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paired timing information and power information.</w:t>
            </w:r>
          </w:p>
          <w:p w14:paraId="77DD70D0">
            <w:pPr>
              <w:spacing w:after="180" w:line="240" w:lineRule="exact"/>
              <w:rPr>
                <w:rFonts w:hint="default" w:ascii="Times New Roman" w:hAnsi="Times New Roman" w:eastAsia="等线" w:cs="Times New Roman"/>
                <w:bCs/>
                <w:iCs/>
                <w:sz w:val="20"/>
                <w:szCs w:val="20"/>
                <w:vertAlign w:val="baseline"/>
                <w:lang w:val="en-US" w:eastAsia="zh-CN"/>
              </w:rPr>
            </w:pPr>
          </w:p>
          <w:p w14:paraId="279F58CE">
            <w:pPr>
              <w:ind w:left="0" w:firstLine="0"/>
              <w:rPr>
                <w:rFonts w:hint="default" w:ascii="Times New Roman" w:hAnsi="Times New Roman" w:cs="Times New Roman"/>
                <w:sz w:val="20"/>
                <w:szCs w:val="20"/>
              </w:rPr>
            </w:pPr>
            <w:r>
              <w:rPr>
                <w:rFonts w:hint="default" w:ascii="Times New Roman" w:hAnsi="Times New Roman" w:cs="Times New Roman"/>
                <w:sz w:val="20"/>
                <w:szCs w:val="20"/>
              </w:rPr>
              <w:t xml:space="preserve">For AI/ML assisted positioning Case 3a, at least LOS/NLOS indicator and/or timing information are supported for reporting. </w:t>
            </w:r>
          </w:p>
          <w:p w14:paraId="5CB99EF0">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LOS/NLOS indicator is reported, the indicator can be reported as soft indicator or hard indicator as defined in 38.214.</w:t>
            </w:r>
          </w:p>
          <w:p w14:paraId="3A6099CD">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timing information is reported, the timing information at least can be reported via UL RTOA or gNB Rx-Tx time difference as defined in 38.215.</w:t>
            </w:r>
          </w:p>
          <w:p w14:paraId="26D6FD38">
            <w:pPr>
              <w:widowControl w:val="0"/>
              <w:numPr>
                <w:ilvl w:val="0"/>
                <w:numId w:val="11"/>
              </w:numPr>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zh-CN"/>
              </w:rPr>
              <w:t>Note: details of the report are pending further discussion.</w:t>
            </w:r>
          </w:p>
          <w:p w14:paraId="36B9A458">
            <w:pPr>
              <w:widowControl w:val="0"/>
              <w:numPr>
                <w:ilvl w:val="0"/>
                <w:numId w:val="0"/>
              </w:numPr>
              <w:ind w:left="360" w:leftChars="0"/>
              <w:jc w:val="both"/>
              <w:rPr>
                <w:rFonts w:hint="default" w:ascii="Times New Roman" w:hAnsi="Times New Roman" w:eastAsia="等线" w:cs="Times New Roman"/>
                <w:bCs/>
                <w:iCs/>
                <w:sz w:val="20"/>
                <w:szCs w:val="20"/>
                <w:vertAlign w:val="baseline"/>
                <w:lang w:val="en-US" w:eastAsia="zh-CN"/>
              </w:rPr>
            </w:pPr>
          </w:p>
        </w:tc>
      </w:tr>
    </w:tbl>
    <w:p w14:paraId="1C4E8BAC">
      <w:pPr>
        <w:spacing w:after="180" w:line="240" w:lineRule="exact"/>
        <w:rPr>
          <w:rFonts w:hint="eastAsia" w:ascii="Times New Roman" w:hAnsi="Times New Roman" w:eastAsia="等线"/>
          <w:bCs/>
          <w:iCs/>
          <w:sz w:val="20"/>
          <w:szCs w:val="20"/>
          <w:lang w:val="en-US" w:eastAsia="zh-CN"/>
        </w:rPr>
      </w:pPr>
    </w:p>
    <w:p w14:paraId="7B1A70D9">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According to RAN1 agreements, for case 3a, LOS/NLOS indicator and/or timing information are supported for reporting. I</w:t>
      </w:r>
      <w:r>
        <w:rPr>
          <w:rFonts w:hint="default" w:ascii="Times New Roman" w:hAnsi="Times New Roman" w:cs="Times New Roman"/>
          <w:sz w:val="20"/>
          <w:szCs w:val="20"/>
          <w:lang w:val="en-US" w:eastAsia="zh-CN"/>
        </w:rPr>
        <w:t>f LOS/NLOS indicator is reported, the indicator can be reported as soft indicator or hard indicator as defined in 38.214</w:t>
      </w:r>
      <w:r>
        <w:rPr>
          <w:rFonts w:hint="eastAsia" w:ascii="Times New Roman" w:hAnsi="Times New Roman" w:cs="Times New Roman"/>
          <w:sz w:val="20"/>
          <w:szCs w:val="20"/>
          <w:lang w:val="en-US" w:eastAsia="zh-CN"/>
        </w:rPr>
        <w:t>. I</w:t>
      </w:r>
      <w:r>
        <w:rPr>
          <w:rFonts w:hint="default" w:ascii="Times New Roman" w:hAnsi="Times New Roman" w:cs="Times New Roman"/>
          <w:sz w:val="20"/>
          <w:szCs w:val="20"/>
          <w:lang w:val="en-US" w:eastAsia="zh-CN"/>
        </w:rPr>
        <w:t>f timing information is reported, the timing information at least can be reported via UL RTOA or gNB Rx-Tx time difference as defined in 38.215.</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For case 3b, </w:t>
      </w:r>
      <w:r>
        <w:rPr>
          <w:rFonts w:hint="default" w:ascii="Times New Roman" w:hAnsi="Times New Roman" w:cs="Times New Roman"/>
          <w:sz w:val="20"/>
          <w:szCs w:val="20"/>
        </w:rPr>
        <w:t>time domain channel measurements</w:t>
      </w:r>
      <w:r>
        <w:rPr>
          <w:rFonts w:hint="eastAsia" w:ascii="Times New Roman" w:hAnsi="Times New Roman" w:cs="Times New Roman"/>
          <w:sz w:val="20"/>
          <w:szCs w:val="20"/>
          <w:lang w:val="en-US" w:eastAsia="zh-CN"/>
        </w:rPr>
        <w:t xml:space="preserve"> including timing information, paried timing information and power information are supported for reporting. </w:t>
      </w:r>
    </w:p>
    <w:p w14:paraId="73161DAC">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In Rel-18 SI discussion, f</w:t>
      </w:r>
      <w:r>
        <w:rPr>
          <w:rFonts w:hint="default" w:ascii="Times New Roman" w:hAnsi="Times New Roman" w:cs="Times New Roman"/>
          <w:sz w:val="20"/>
          <w:szCs w:val="20"/>
          <w:lang w:eastAsia="zh-CN"/>
        </w:rPr>
        <w:t>or the definition of AI/ML requirements</w:t>
      </w:r>
      <w:r>
        <w:rPr>
          <w:rFonts w:hint="eastAsia" w:ascii="Times New Roman" w:hAnsi="Times New Roman" w:cs="Times New Roman"/>
          <w:sz w:val="20"/>
          <w:szCs w:val="20"/>
          <w:lang w:val="en-US" w:eastAsia="zh-CN"/>
        </w:rPr>
        <w:t xml:space="preserve">, we have following consideration [5]. It can be seen that for the cases with </w:t>
      </w:r>
      <w:r>
        <w:rPr>
          <w:rFonts w:hint="default" w:ascii="Times New Roman" w:hAnsi="Times New Roman" w:cs="Times New Roman"/>
          <w:sz w:val="20"/>
          <w:szCs w:val="20"/>
          <w:lang w:eastAsia="zh-CN"/>
        </w:rPr>
        <w:t>the existing legacy performance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the legacy performance </w:t>
      </w:r>
      <w:r>
        <w:rPr>
          <w:rFonts w:hint="eastAsia" w:ascii="Times New Roman" w:hAnsi="Times New Roman" w:cs="Times New Roman"/>
          <w:sz w:val="20"/>
          <w:szCs w:val="20"/>
          <w:lang w:val="en-US" w:eastAsia="zh-CN"/>
        </w:rPr>
        <w:t xml:space="preserve">can be used </w:t>
      </w:r>
      <w:r>
        <w:rPr>
          <w:rFonts w:hint="default" w:ascii="Times New Roman" w:hAnsi="Times New Roman" w:cs="Times New Roman"/>
          <w:sz w:val="20"/>
          <w:szCs w:val="20"/>
          <w:lang w:eastAsia="zh-CN"/>
        </w:rPr>
        <w:t>as baseline</w:t>
      </w:r>
      <w:r>
        <w:rPr>
          <w:rFonts w:hint="eastAsia" w:ascii="Times New Roman" w:hAnsi="Times New Roman" w:cs="Times New Roman"/>
          <w:sz w:val="20"/>
          <w:szCs w:val="20"/>
          <w:lang w:val="en-US" w:eastAsia="zh-CN"/>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68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1154548">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TR 38.843 </w:t>
            </w:r>
          </w:p>
          <w:p w14:paraId="18EAB401">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7.3.2.2</w:t>
            </w:r>
            <w:r>
              <w:rPr>
                <w:rFonts w:hint="default" w:ascii="Times New Roman" w:hAnsi="Times New Roman" w:cs="Times New Roman"/>
                <w:sz w:val="20"/>
                <w:szCs w:val="20"/>
              </w:rPr>
              <w:tab/>
            </w:r>
            <w:r>
              <w:rPr>
                <w:rFonts w:hint="default" w:ascii="Times New Roman" w:hAnsi="Times New Roman" w:cs="Times New Roman"/>
                <w:sz w:val="20"/>
                <w:szCs w:val="20"/>
              </w:rPr>
              <w:t>P</w:t>
            </w:r>
            <w:r>
              <w:rPr>
                <w:rFonts w:hint="default" w:ascii="Times New Roman" w:hAnsi="Times New Roman" w:cs="Times New Roman"/>
                <w:sz w:val="20"/>
                <w:szCs w:val="20"/>
                <w:lang w:eastAsia="zh-CN"/>
              </w:rPr>
              <w:t>rin</w:t>
            </w:r>
            <w:r>
              <w:rPr>
                <w:rFonts w:hint="default" w:ascii="Times New Roman" w:hAnsi="Times New Roman" w:cs="Times New Roman"/>
                <w:sz w:val="20"/>
                <w:szCs w:val="20"/>
              </w:rPr>
              <w:t>ciples on the definition of requirements</w:t>
            </w:r>
          </w:p>
          <w:p w14:paraId="0E1B04DD">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the definition of AI/ML requirements, the following cases related to legacy performance should be considered </w:t>
            </w:r>
          </w:p>
          <w:p w14:paraId="4FCE9B7D">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the cases with the existing legacy performance </w:t>
            </w:r>
          </w:p>
          <w:p w14:paraId="51752E79">
            <w:pPr>
              <w:pStyle w:val="2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Take the legacy performance as baseline for existing use cases/procedures/functionalities /measurements that are to be enhanced by AI/ML based methods</w:t>
            </w:r>
          </w:p>
          <w:p w14:paraId="2D432573">
            <w:pPr>
              <w:pStyle w:val="25"/>
              <w:rPr>
                <w:rFonts w:hint="default" w:ascii="Times New Roman" w:hAnsi="Times New Roman" w:cs="Times New Roman"/>
                <w:sz w:val="20"/>
                <w:szCs w:val="20"/>
                <w:lang w:eastAsia="zh-CN"/>
              </w:rPr>
            </w:pPr>
            <w:bookmarkStart w:id="6" w:name="_Hlk149569778"/>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Further study may be needed on what is baseline performance in conditions different to the requirement condition but within the expected range of operation.</w:t>
            </w:r>
            <w:bookmarkEnd w:id="6"/>
          </w:p>
          <w:p w14:paraId="42E4C84A">
            <w:pPr>
              <w:pStyle w:val="2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New or enhanced performance requirements/tests could be considered for existing use cases/procedures/functionalities/measurements that are to be enhanced by AI/ML based methods</w:t>
            </w:r>
          </w:p>
          <w:p w14:paraId="7E326B29">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the cases without the existing legacy performance</w:t>
            </w:r>
          </w:p>
          <w:p w14:paraId="07922061">
            <w:pPr>
              <w:pStyle w:val="24"/>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New performance requirements/tests could be considered for the use cases/procedures/functionalities/measurements that are carried out or are to be enhanced by AI/ML based methods</w:t>
            </w:r>
          </w:p>
        </w:tc>
      </w:tr>
    </w:tbl>
    <w:p w14:paraId="3DEFF31C">
      <w:pPr>
        <w:spacing w:after="180" w:line="240" w:lineRule="exact"/>
        <w:rPr>
          <w:rFonts w:hint="default" w:ascii="Times New Roman" w:hAnsi="Times New Roman" w:cs="Times New Roman"/>
          <w:sz w:val="20"/>
          <w:szCs w:val="20"/>
          <w:lang w:val="en-US" w:eastAsia="zh-CN"/>
        </w:rPr>
      </w:pPr>
    </w:p>
    <w:p w14:paraId="52CB862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non-AI, according to TS 38.133, measurement reporting mapping are specified for </w:t>
      </w:r>
      <w:r>
        <w:rPr>
          <w:rFonts w:hint="default" w:ascii="Times New Roman" w:hAnsi="Times New Roman" w:cs="Times New Roman"/>
          <w:sz w:val="20"/>
          <w:szCs w:val="20"/>
          <w:lang w:val="en-US" w:eastAsia="zh-CN"/>
        </w:rPr>
        <w:t>UL RTOA</w:t>
      </w:r>
      <w:r>
        <w:rPr>
          <w:rFonts w:hint="eastAsia" w:ascii="Times New Roman" w:hAnsi="Times New Roman" w:cs="Times New Roman"/>
          <w:sz w:val="20"/>
          <w:szCs w:val="20"/>
          <w:lang w:val="en-US" w:eastAsia="zh-CN"/>
        </w:rPr>
        <w:t>, UL SRS RSRP measurement and UL SRS RSRPP measurement, which can be reused for case 3a/3b.</w:t>
      </w:r>
      <w:r>
        <w:rPr>
          <w:rFonts w:hint="eastAsia" w:ascii="Times New Roman" w:hAnsi="Times New Roman" w:eastAsia="等线"/>
          <w:bCs/>
          <w:iCs/>
          <w:sz w:val="20"/>
          <w:szCs w:val="20"/>
          <w:lang w:val="en-US" w:eastAsia="zh-CN"/>
        </w:rPr>
        <w:t xml:space="preserve"> In RAN4#112bis meeting, it was agreed to extend applicability of existing report mappings for UL-RToA and UL SRS-RSRPP to report UL measurements for AI/ML based positioning use cases 3a/3b, but it seems that report mappings for </w:t>
      </w:r>
      <w:r>
        <w:rPr>
          <w:rFonts w:hint="eastAsia" w:ascii="Times New Roman" w:hAnsi="Times New Roman" w:cs="Times New Roman"/>
          <w:sz w:val="20"/>
          <w:szCs w:val="20"/>
          <w:lang w:val="en-US" w:eastAsia="zh-CN"/>
        </w:rPr>
        <w:t xml:space="preserve">UL SRS RSRP is missing. For case 3a/3b, we do not see issues to reuse </w:t>
      </w:r>
      <w:r>
        <w:rPr>
          <w:rFonts w:hint="eastAsia" w:ascii="Times New Roman" w:hAnsi="Times New Roman" w:eastAsia="等线"/>
          <w:bCs/>
          <w:iCs/>
          <w:sz w:val="20"/>
          <w:szCs w:val="20"/>
          <w:lang w:val="en-US" w:eastAsia="zh-CN"/>
        </w:rPr>
        <w:t xml:space="preserve">report mappings for </w:t>
      </w:r>
      <w:r>
        <w:rPr>
          <w:rFonts w:hint="eastAsia" w:ascii="Times New Roman" w:hAnsi="Times New Roman" w:cs="Times New Roman"/>
          <w:sz w:val="20"/>
          <w:szCs w:val="20"/>
          <w:lang w:val="en-US" w:eastAsia="zh-CN"/>
        </w:rPr>
        <w:t xml:space="preserve">UL SRS RSRP.  </w:t>
      </w:r>
      <w:r>
        <w:rPr>
          <w:rFonts w:hint="eastAsia" w:ascii="Times New Roman" w:hAnsi="Times New Roman" w:eastAsia="等线"/>
          <w:bCs/>
          <w:iCs/>
          <w:sz w:val="20"/>
          <w:szCs w:val="20"/>
          <w:lang w:val="en-US" w:eastAsia="zh-CN"/>
        </w:rPr>
        <w:t xml:space="preserve">  </w:t>
      </w:r>
    </w:p>
    <w:p w14:paraId="55E0DC4B">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rPr>
        <w:t>Table 1</w:t>
      </w:r>
      <w:r>
        <w:rPr>
          <w:rFonts w:hint="default" w:ascii="Times New Roman" w:hAnsi="Times New Roman" w:cs="Times New Roman"/>
          <w:sz w:val="20"/>
          <w:szCs w:val="20"/>
          <w:lang w:eastAsia="zh-CN"/>
        </w:rPr>
        <w:t>3</w:t>
      </w:r>
      <w:r>
        <w:rPr>
          <w:rFonts w:hint="default" w:ascii="Times New Roman" w:hAnsi="Times New Roman" w:cs="Times New Roman"/>
          <w:sz w:val="20"/>
          <w:szCs w:val="20"/>
        </w:rPr>
        <w:t>.</w:t>
      </w:r>
      <w:r>
        <w:rPr>
          <w:rFonts w:hint="default" w:ascii="Times New Roman" w:hAnsi="Times New Roman" w:cs="Times New Roman"/>
          <w:sz w:val="20"/>
          <w:szCs w:val="20"/>
          <w:lang w:eastAsia="zh-CN"/>
        </w:rPr>
        <w:t>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 xml:space="preserve">-1: </w:t>
      </w:r>
      <w:r>
        <w:rPr>
          <w:rFonts w:hint="default" w:ascii="Times New Roman" w:hAnsi="Times New Roman" w:cs="Times New Roman"/>
          <w:sz w:val="20"/>
          <w:szCs w:val="20"/>
          <w:lang w:eastAsia="zh-CN"/>
        </w:rPr>
        <w:t xml:space="preserve">UL </w:t>
      </w:r>
      <w:r>
        <w:rPr>
          <w:rFonts w:hint="default" w:ascii="Times New Roman" w:hAnsi="Times New Roman" w:cs="Times New Roman"/>
          <w:sz w:val="20"/>
          <w:szCs w:val="20"/>
        </w:rPr>
        <w:t>SRS RSRP report mapping</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608"/>
        <w:gridCol w:w="863"/>
      </w:tblGrid>
      <w:tr w14:paraId="2075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13541A04">
            <w:pPr>
              <w:pStyle w:val="2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Reported value</w:t>
            </w:r>
          </w:p>
        </w:tc>
        <w:tc>
          <w:tcPr>
            <w:tcW w:w="2608" w:type="dxa"/>
            <w:shd w:val="clear" w:color="auto" w:fill="auto"/>
            <w:noWrap/>
          </w:tcPr>
          <w:p w14:paraId="66E32D3E">
            <w:pPr>
              <w:pStyle w:val="2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Measured quantity value</w:t>
            </w:r>
          </w:p>
        </w:tc>
        <w:tc>
          <w:tcPr>
            <w:tcW w:w="863" w:type="dxa"/>
            <w:shd w:val="clear" w:color="auto" w:fill="auto"/>
            <w:noWrap/>
          </w:tcPr>
          <w:p w14:paraId="3CD20476">
            <w:pPr>
              <w:pStyle w:val="2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Unit</w:t>
            </w:r>
          </w:p>
        </w:tc>
      </w:tr>
      <w:tr w14:paraId="7BB9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1640" w:type="dxa"/>
            <w:shd w:val="clear" w:color="auto" w:fill="auto"/>
            <w:noWrap/>
          </w:tcPr>
          <w:p w14:paraId="62F43577">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RSRP_0</w:t>
            </w:r>
          </w:p>
        </w:tc>
        <w:tc>
          <w:tcPr>
            <w:tcW w:w="2608" w:type="dxa"/>
            <w:shd w:val="clear" w:color="auto" w:fill="auto"/>
            <w:noWrap/>
          </w:tcPr>
          <w:p w14:paraId="1DFA154B">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SRS</w:t>
            </w: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ko-KR"/>
              </w:rPr>
              <w:t>RSRP&lt;-156</w:t>
            </w:r>
          </w:p>
        </w:tc>
        <w:tc>
          <w:tcPr>
            <w:tcW w:w="863" w:type="dxa"/>
            <w:shd w:val="clear" w:color="auto" w:fill="auto"/>
            <w:noWrap/>
          </w:tcPr>
          <w:p w14:paraId="4073650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5EB2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8F7EFA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w:t>
            </w:r>
          </w:p>
        </w:tc>
        <w:tc>
          <w:tcPr>
            <w:tcW w:w="2608" w:type="dxa"/>
            <w:shd w:val="clear" w:color="auto" w:fill="auto"/>
            <w:noWrap/>
          </w:tcPr>
          <w:p w14:paraId="0056E1C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-156≤SRS-RSRP&lt;-155</w:t>
            </w:r>
          </w:p>
        </w:tc>
        <w:tc>
          <w:tcPr>
            <w:tcW w:w="863" w:type="dxa"/>
            <w:shd w:val="clear" w:color="auto" w:fill="auto"/>
            <w:noWrap/>
          </w:tcPr>
          <w:p w14:paraId="6142899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190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0616F10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RSRP_2</w:t>
            </w:r>
          </w:p>
        </w:tc>
        <w:tc>
          <w:tcPr>
            <w:tcW w:w="2608" w:type="dxa"/>
            <w:shd w:val="clear" w:color="auto" w:fill="auto"/>
            <w:noWrap/>
          </w:tcPr>
          <w:p w14:paraId="7E4965B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-155≤SRS-RSRP&lt;-154</w:t>
            </w:r>
          </w:p>
        </w:tc>
        <w:tc>
          <w:tcPr>
            <w:tcW w:w="863" w:type="dxa"/>
            <w:shd w:val="clear" w:color="auto" w:fill="auto"/>
            <w:noWrap/>
          </w:tcPr>
          <w:p w14:paraId="010B83B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34BA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642F7A4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RSRP_3</w:t>
            </w:r>
          </w:p>
        </w:tc>
        <w:tc>
          <w:tcPr>
            <w:tcW w:w="2608" w:type="dxa"/>
            <w:shd w:val="clear" w:color="auto" w:fill="auto"/>
            <w:noWrap/>
          </w:tcPr>
          <w:p w14:paraId="4FE04F3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-154≤SRS-RSRP&lt;-153</w:t>
            </w:r>
          </w:p>
        </w:tc>
        <w:tc>
          <w:tcPr>
            <w:tcW w:w="863" w:type="dxa"/>
            <w:shd w:val="clear" w:color="auto" w:fill="auto"/>
            <w:noWrap/>
          </w:tcPr>
          <w:p w14:paraId="135EE60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23B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126B366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RSRP_4</w:t>
            </w:r>
          </w:p>
        </w:tc>
        <w:tc>
          <w:tcPr>
            <w:tcW w:w="2608" w:type="dxa"/>
            <w:shd w:val="clear" w:color="auto" w:fill="auto"/>
            <w:noWrap/>
          </w:tcPr>
          <w:p w14:paraId="336B179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-153≤SRS-RSRP&lt;-152</w:t>
            </w:r>
          </w:p>
        </w:tc>
        <w:tc>
          <w:tcPr>
            <w:tcW w:w="863" w:type="dxa"/>
            <w:shd w:val="clear" w:color="auto" w:fill="auto"/>
            <w:noWrap/>
          </w:tcPr>
          <w:p w14:paraId="4F3D172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597F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F1318B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RSRP_5</w:t>
            </w:r>
          </w:p>
        </w:tc>
        <w:tc>
          <w:tcPr>
            <w:tcW w:w="2608" w:type="dxa"/>
            <w:shd w:val="clear" w:color="auto" w:fill="auto"/>
            <w:noWrap/>
          </w:tcPr>
          <w:p w14:paraId="64D1A7F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-152≤SRS-RSRP&lt;-151</w:t>
            </w:r>
          </w:p>
        </w:tc>
        <w:tc>
          <w:tcPr>
            <w:tcW w:w="863" w:type="dxa"/>
            <w:shd w:val="clear" w:color="auto" w:fill="auto"/>
            <w:noWrap/>
          </w:tcPr>
          <w:p w14:paraId="53F0DDB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6336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657E767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RSRP_6</w:t>
            </w:r>
          </w:p>
        </w:tc>
        <w:tc>
          <w:tcPr>
            <w:tcW w:w="2608" w:type="dxa"/>
            <w:shd w:val="clear" w:color="auto" w:fill="auto"/>
            <w:noWrap/>
          </w:tcPr>
          <w:p w14:paraId="6D10D45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-151≤SRS-RSRP&lt;-150</w:t>
            </w:r>
          </w:p>
        </w:tc>
        <w:tc>
          <w:tcPr>
            <w:tcW w:w="863" w:type="dxa"/>
            <w:shd w:val="clear" w:color="auto" w:fill="auto"/>
            <w:noWrap/>
          </w:tcPr>
          <w:p w14:paraId="2BD200F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A7A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17325A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RSRP_7</w:t>
            </w:r>
          </w:p>
        </w:tc>
        <w:tc>
          <w:tcPr>
            <w:tcW w:w="2608" w:type="dxa"/>
            <w:shd w:val="clear" w:color="auto" w:fill="auto"/>
            <w:noWrap/>
          </w:tcPr>
          <w:p w14:paraId="706A0E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-150≤SRS-RSRP&lt;-149</w:t>
            </w:r>
          </w:p>
        </w:tc>
        <w:tc>
          <w:tcPr>
            <w:tcW w:w="863" w:type="dxa"/>
            <w:shd w:val="clear" w:color="auto" w:fill="auto"/>
            <w:noWrap/>
          </w:tcPr>
          <w:p w14:paraId="7A1D072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3737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74323190">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RSRP_8</w:t>
            </w:r>
          </w:p>
        </w:tc>
        <w:tc>
          <w:tcPr>
            <w:tcW w:w="2608" w:type="dxa"/>
            <w:shd w:val="clear" w:color="auto" w:fill="auto"/>
            <w:noWrap/>
          </w:tcPr>
          <w:p w14:paraId="327AC92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-149≤SRS-RSRP&lt;-148</w:t>
            </w:r>
          </w:p>
        </w:tc>
        <w:tc>
          <w:tcPr>
            <w:tcW w:w="863" w:type="dxa"/>
            <w:shd w:val="clear" w:color="auto" w:fill="auto"/>
            <w:noWrap/>
          </w:tcPr>
          <w:p w14:paraId="1BBB22D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1E8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40" w:type="dxa"/>
            <w:shd w:val="clear" w:color="auto" w:fill="auto"/>
            <w:noWrap/>
          </w:tcPr>
          <w:p w14:paraId="1F4EA81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RSRP_9</w:t>
            </w:r>
          </w:p>
        </w:tc>
        <w:tc>
          <w:tcPr>
            <w:tcW w:w="2608" w:type="dxa"/>
            <w:shd w:val="clear" w:color="auto" w:fill="auto"/>
            <w:noWrap/>
          </w:tcPr>
          <w:p w14:paraId="53ECD67B">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-148≤SRS-RSRP&lt;-147</w:t>
            </w:r>
          </w:p>
        </w:tc>
        <w:tc>
          <w:tcPr>
            <w:tcW w:w="863" w:type="dxa"/>
            <w:shd w:val="clear" w:color="auto" w:fill="auto"/>
            <w:noWrap/>
          </w:tcPr>
          <w:p w14:paraId="7E277B6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A81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75B2D12A">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RSRP_10</w:t>
            </w:r>
          </w:p>
        </w:tc>
        <w:tc>
          <w:tcPr>
            <w:tcW w:w="2608" w:type="dxa"/>
            <w:shd w:val="clear" w:color="auto" w:fill="auto"/>
            <w:noWrap/>
          </w:tcPr>
          <w:p w14:paraId="4E4C15D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-147≤SRS-RSRP&lt;-146</w:t>
            </w:r>
          </w:p>
        </w:tc>
        <w:tc>
          <w:tcPr>
            <w:tcW w:w="863" w:type="dxa"/>
            <w:shd w:val="clear" w:color="auto" w:fill="auto"/>
            <w:noWrap/>
          </w:tcPr>
          <w:p w14:paraId="143D24F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927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1640" w:type="dxa"/>
            <w:shd w:val="clear" w:color="auto" w:fill="auto"/>
            <w:noWrap/>
          </w:tcPr>
          <w:p w14:paraId="1BDB37E5">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w:t>
            </w:r>
          </w:p>
        </w:tc>
        <w:tc>
          <w:tcPr>
            <w:tcW w:w="2608" w:type="dxa"/>
            <w:shd w:val="clear" w:color="auto" w:fill="auto"/>
            <w:noWrap/>
          </w:tcPr>
          <w:p w14:paraId="5FB8BED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-146≤SRS-RSRP&lt;-145</w:t>
            </w:r>
          </w:p>
        </w:tc>
        <w:tc>
          <w:tcPr>
            <w:tcW w:w="863" w:type="dxa"/>
            <w:shd w:val="clear" w:color="auto" w:fill="auto"/>
            <w:noWrap/>
          </w:tcPr>
          <w:p w14:paraId="163865E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870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13B54E82">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w:t>
            </w:r>
          </w:p>
        </w:tc>
        <w:tc>
          <w:tcPr>
            <w:tcW w:w="2608" w:type="dxa"/>
            <w:shd w:val="clear" w:color="auto" w:fill="auto"/>
            <w:noWrap/>
          </w:tcPr>
          <w:p w14:paraId="418ABBB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-145≤SRS-RSRP&lt;-144</w:t>
            </w:r>
          </w:p>
        </w:tc>
        <w:tc>
          <w:tcPr>
            <w:tcW w:w="863" w:type="dxa"/>
            <w:shd w:val="clear" w:color="auto" w:fill="auto"/>
            <w:noWrap/>
          </w:tcPr>
          <w:p w14:paraId="6656FFB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57BEC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640" w:type="dxa"/>
            <w:shd w:val="clear" w:color="auto" w:fill="auto"/>
            <w:noWrap/>
          </w:tcPr>
          <w:p w14:paraId="0AF14AD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RSRP_13</w:t>
            </w:r>
          </w:p>
        </w:tc>
        <w:tc>
          <w:tcPr>
            <w:tcW w:w="2608" w:type="dxa"/>
            <w:shd w:val="clear" w:color="auto" w:fill="auto"/>
            <w:noWrap/>
          </w:tcPr>
          <w:p w14:paraId="08E4418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-144≤SRS-RSRP&lt;-143</w:t>
            </w:r>
          </w:p>
        </w:tc>
        <w:tc>
          <w:tcPr>
            <w:tcW w:w="863" w:type="dxa"/>
            <w:shd w:val="clear" w:color="auto" w:fill="auto"/>
            <w:noWrap/>
          </w:tcPr>
          <w:p w14:paraId="2264ACC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CE6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AADA4E0">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RSRP_14</w:t>
            </w:r>
          </w:p>
        </w:tc>
        <w:tc>
          <w:tcPr>
            <w:tcW w:w="2608" w:type="dxa"/>
            <w:shd w:val="clear" w:color="auto" w:fill="auto"/>
            <w:noWrap/>
          </w:tcPr>
          <w:p w14:paraId="6BC8F92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-143≤SRS-RSRP&lt;-142</w:t>
            </w:r>
          </w:p>
        </w:tc>
        <w:tc>
          <w:tcPr>
            <w:tcW w:w="863" w:type="dxa"/>
            <w:shd w:val="clear" w:color="auto" w:fill="auto"/>
            <w:noWrap/>
          </w:tcPr>
          <w:p w14:paraId="53CFB11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79DA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40" w:type="dxa"/>
            <w:shd w:val="clear" w:color="auto" w:fill="auto"/>
            <w:noWrap/>
          </w:tcPr>
          <w:p w14:paraId="7568ABF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RSRP_15</w:t>
            </w:r>
          </w:p>
        </w:tc>
        <w:tc>
          <w:tcPr>
            <w:tcW w:w="2608" w:type="dxa"/>
            <w:shd w:val="clear" w:color="auto" w:fill="auto"/>
            <w:noWrap/>
          </w:tcPr>
          <w:p w14:paraId="752BF0C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-142≤SRS-RSRP&lt;-141</w:t>
            </w:r>
          </w:p>
        </w:tc>
        <w:tc>
          <w:tcPr>
            <w:tcW w:w="863" w:type="dxa"/>
            <w:shd w:val="clear" w:color="auto" w:fill="auto"/>
            <w:noWrap/>
          </w:tcPr>
          <w:p w14:paraId="311F824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40C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640" w:type="dxa"/>
            <w:shd w:val="clear" w:color="auto" w:fill="auto"/>
            <w:noWrap/>
          </w:tcPr>
          <w:p w14:paraId="4AD877BC">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RSRP_16</w:t>
            </w:r>
          </w:p>
        </w:tc>
        <w:tc>
          <w:tcPr>
            <w:tcW w:w="2608" w:type="dxa"/>
            <w:shd w:val="clear" w:color="auto" w:fill="auto"/>
            <w:noWrap/>
          </w:tcPr>
          <w:p w14:paraId="50A028F8">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-141≤SRS-RSRP&lt;-140</w:t>
            </w:r>
          </w:p>
        </w:tc>
        <w:tc>
          <w:tcPr>
            <w:tcW w:w="863" w:type="dxa"/>
            <w:shd w:val="clear" w:color="auto" w:fill="auto"/>
            <w:noWrap/>
          </w:tcPr>
          <w:p w14:paraId="7AA804A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BFE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BBD15B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RSRP_17</w:t>
            </w:r>
          </w:p>
        </w:tc>
        <w:tc>
          <w:tcPr>
            <w:tcW w:w="2608" w:type="dxa"/>
            <w:shd w:val="clear" w:color="auto" w:fill="auto"/>
            <w:noWrap/>
          </w:tcPr>
          <w:p w14:paraId="3A26238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-140≤SRS-RSRP&lt;-139</w:t>
            </w:r>
          </w:p>
        </w:tc>
        <w:tc>
          <w:tcPr>
            <w:tcW w:w="863" w:type="dxa"/>
            <w:shd w:val="clear" w:color="auto" w:fill="auto"/>
            <w:noWrap/>
          </w:tcPr>
          <w:p w14:paraId="2CDAC8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477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3BA042C">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RSRP_18</w:t>
            </w:r>
          </w:p>
        </w:tc>
        <w:tc>
          <w:tcPr>
            <w:tcW w:w="2608" w:type="dxa"/>
            <w:shd w:val="clear" w:color="auto" w:fill="auto"/>
            <w:noWrap/>
          </w:tcPr>
          <w:p w14:paraId="5A325768">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-139≤SRS-RSRP&lt;-138</w:t>
            </w:r>
          </w:p>
        </w:tc>
        <w:tc>
          <w:tcPr>
            <w:tcW w:w="863" w:type="dxa"/>
            <w:shd w:val="clear" w:color="auto" w:fill="auto"/>
            <w:noWrap/>
          </w:tcPr>
          <w:p w14:paraId="3DD520ED">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229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4BA72CC">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c>
          <w:tcPr>
            <w:tcW w:w="2608" w:type="dxa"/>
            <w:shd w:val="clear" w:color="auto" w:fill="auto"/>
            <w:noWrap/>
          </w:tcPr>
          <w:p w14:paraId="61DDD8D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c>
          <w:tcPr>
            <w:tcW w:w="863" w:type="dxa"/>
            <w:shd w:val="clear" w:color="auto" w:fill="auto"/>
            <w:noWrap/>
          </w:tcPr>
          <w:p w14:paraId="761E789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r>
      <w:tr w14:paraId="7FEE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640" w:type="dxa"/>
            <w:shd w:val="clear" w:color="auto" w:fill="auto"/>
            <w:noWrap/>
          </w:tcPr>
          <w:p w14:paraId="67E28AB6">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RSRP_111</w:t>
            </w:r>
          </w:p>
        </w:tc>
        <w:tc>
          <w:tcPr>
            <w:tcW w:w="2608" w:type="dxa"/>
            <w:shd w:val="clear" w:color="auto" w:fill="auto"/>
            <w:noWrap/>
          </w:tcPr>
          <w:p w14:paraId="21C502B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-46≤SRS-RSRP&lt;-45</w:t>
            </w:r>
          </w:p>
        </w:tc>
        <w:tc>
          <w:tcPr>
            <w:tcW w:w="863" w:type="dxa"/>
            <w:shd w:val="clear" w:color="auto" w:fill="auto"/>
            <w:noWrap/>
          </w:tcPr>
          <w:p w14:paraId="2C6BF5E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655B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6768785A">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RSRP_112</w:t>
            </w:r>
          </w:p>
        </w:tc>
        <w:tc>
          <w:tcPr>
            <w:tcW w:w="2608" w:type="dxa"/>
            <w:shd w:val="clear" w:color="auto" w:fill="auto"/>
            <w:noWrap/>
          </w:tcPr>
          <w:p w14:paraId="0E240F9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-45≤SRS-RSRP&lt;-44</w:t>
            </w:r>
          </w:p>
        </w:tc>
        <w:tc>
          <w:tcPr>
            <w:tcW w:w="863" w:type="dxa"/>
            <w:shd w:val="clear" w:color="auto" w:fill="auto"/>
            <w:noWrap/>
          </w:tcPr>
          <w:p w14:paraId="2AFFCBB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460C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0C82AE54">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RSRP_113</w:t>
            </w:r>
          </w:p>
        </w:tc>
        <w:tc>
          <w:tcPr>
            <w:tcW w:w="2608" w:type="dxa"/>
            <w:shd w:val="clear" w:color="auto" w:fill="auto"/>
            <w:noWrap/>
          </w:tcPr>
          <w:p w14:paraId="1B3B7E3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-44≤SRS-RSRP&lt;-43</w:t>
            </w:r>
          </w:p>
        </w:tc>
        <w:tc>
          <w:tcPr>
            <w:tcW w:w="863" w:type="dxa"/>
            <w:shd w:val="clear" w:color="auto" w:fill="auto"/>
            <w:noWrap/>
          </w:tcPr>
          <w:p w14:paraId="6AE314A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3D6B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4EB13F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RSRP_114</w:t>
            </w:r>
          </w:p>
        </w:tc>
        <w:tc>
          <w:tcPr>
            <w:tcW w:w="2608" w:type="dxa"/>
            <w:shd w:val="clear" w:color="auto" w:fill="auto"/>
            <w:noWrap/>
          </w:tcPr>
          <w:p w14:paraId="1401AD5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-43≤SRS-RSRP&lt;-42</w:t>
            </w:r>
          </w:p>
        </w:tc>
        <w:tc>
          <w:tcPr>
            <w:tcW w:w="863" w:type="dxa"/>
            <w:shd w:val="clear" w:color="auto" w:fill="auto"/>
            <w:noWrap/>
          </w:tcPr>
          <w:p w14:paraId="4015AC3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75C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1640" w:type="dxa"/>
            <w:shd w:val="clear" w:color="auto" w:fill="auto"/>
            <w:noWrap/>
          </w:tcPr>
          <w:p w14:paraId="50906AB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RSRP_115</w:t>
            </w:r>
          </w:p>
        </w:tc>
        <w:tc>
          <w:tcPr>
            <w:tcW w:w="2608" w:type="dxa"/>
            <w:shd w:val="clear" w:color="auto" w:fill="auto"/>
            <w:noWrap/>
          </w:tcPr>
          <w:p w14:paraId="0A096FC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-42≤SRS-RSRP&lt;-41</w:t>
            </w:r>
          </w:p>
        </w:tc>
        <w:tc>
          <w:tcPr>
            <w:tcW w:w="863" w:type="dxa"/>
            <w:shd w:val="clear" w:color="auto" w:fill="auto"/>
            <w:noWrap/>
          </w:tcPr>
          <w:p w14:paraId="2E9706F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60B4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7EE6FF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RSRP_116</w:t>
            </w:r>
          </w:p>
        </w:tc>
        <w:tc>
          <w:tcPr>
            <w:tcW w:w="2608" w:type="dxa"/>
            <w:shd w:val="clear" w:color="auto" w:fill="auto"/>
            <w:noWrap/>
          </w:tcPr>
          <w:p w14:paraId="6B2D23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-41≤SRS-RSRP&lt;-40</w:t>
            </w:r>
          </w:p>
        </w:tc>
        <w:tc>
          <w:tcPr>
            <w:tcW w:w="863" w:type="dxa"/>
            <w:shd w:val="clear" w:color="auto" w:fill="auto"/>
            <w:noWrap/>
          </w:tcPr>
          <w:p w14:paraId="6043419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2CB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C76B516">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RSRP_117</w:t>
            </w:r>
          </w:p>
        </w:tc>
        <w:tc>
          <w:tcPr>
            <w:tcW w:w="2608" w:type="dxa"/>
            <w:shd w:val="clear" w:color="auto" w:fill="auto"/>
            <w:noWrap/>
          </w:tcPr>
          <w:p w14:paraId="60D9F7EB">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-40≤SRS-RSRP&lt;-39</w:t>
            </w:r>
          </w:p>
        </w:tc>
        <w:tc>
          <w:tcPr>
            <w:tcW w:w="863" w:type="dxa"/>
            <w:shd w:val="clear" w:color="auto" w:fill="auto"/>
            <w:noWrap/>
          </w:tcPr>
          <w:p w14:paraId="0312EF9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300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5C76860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RSRP_118</w:t>
            </w:r>
          </w:p>
        </w:tc>
        <w:tc>
          <w:tcPr>
            <w:tcW w:w="2608" w:type="dxa"/>
            <w:shd w:val="clear" w:color="auto" w:fill="auto"/>
            <w:noWrap/>
          </w:tcPr>
          <w:p w14:paraId="3CB00F5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-39≤SRS-RSRP&lt;-38</w:t>
            </w:r>
          </w:p>
        </w:tc>
        <w:tc>
          <w:tcPr>
            <w:tcW w:w="863" w:type="dxa"/>
            <w:shd w:val="clear" w:color="auto" w:fill="auto"/>
            <w:noWrap/>
          </w:tcPr>
          <w:p w14:paraId="6C4278A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C48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jc w:val="center"/>
        </w:trPr>
        <w:tc>
          <w:tcPr>
            <w:tcW w:w="1640" w:type="dxa"/>
            <w:shd w:val="clear" w:color="auto" w:fill="auto"/>
            <w:noWrap/>
          </w:tcPr>
          <w:p w14:paraId="281D0CB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RSRP_119</w:t>
            </w:r>
          </w:p>
        </w:tc>
        <w:tc>
          <w:tcPr>
            <w:tcW w:w="2608" w:type="dxa"/>
            <w:shd w:val="clear" w:color="auto" w:fill="auto"/>
            <w:noWrap/>
          </w:tcPr>
          <w:p w14:paraId="2D6CB0A1">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-38≤SRS-RSRP&lt;-37</w:t>
            </w:r>
          </w:p>
        </w:tc>
        <w:tc>
          <w:tcPr>
            <w:tcW w:w="863" w:type="dxa"/>
            <w:shd w:val="clear" w:color="auto" w:fill="auto"/>
            <w:noWrap/>
          </w:tcPr>
          <w:p w14:paraId="55DF5D4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14C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640" w:type="dxa"/>
            <w:shd w:val="clear" w:color="auto" w:fill="auto"/>
            <w:noWrap/>
          </w:tcPr>
          <w:p w14:paraId="27B8C1C4">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RSRP_120</w:t>
            </w:r>
          </w:p>
        </w:tc>
        <w:tc>
          <w:tcPr>
            <w:tcW w:w="2608" w:type="dxa"/>
            <w:shd w:val="clear" w:color="auto" w:fill="auto"/>
            <w:noWrap/>
          </w:tcPr>
          <w:p w14:paraId="1A57E12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-37≤SRS-RSRP&lt;-36</w:t>
            </w:r>
          </w:p>
        </w:tc>
        <w:tc>
          <w:tcPr>
            <w:tcW w:w="863" w:type="dxa"/>
            <w:shd w:val="clear" w:color="auto" w:fill="auto"/>
            <w:noWrap/>
          </w:tcPr>
          <w:p w14:paraId="2507766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743A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1640" w:type="dxa"/>
            <w:shd w:val="clear" w:color="auto" w:fill="auto"/>
            <w:noWrap/>
          </w:tcPr>
          <w:p w14:paraId="6A3D264A">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RSRP_121</w:t>
            </w:r>
          </w:p>
        </w:tc>
        <w:tc>
          <w:tcPr>
            <w:tcW w:w="2608" w:type="dxa"/>
            <w:shd w:val="clear" w:color="auto" w:fill="auto"/>
            <w:noWrap/>
          </w:tcPr>
          <w:p w14:paraId="3B93A41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-36≤SRS-RSRP&lt;-35</w:t>
            </w:r>
          </w:p>
        </w:tc>
        <w:tc>
          <w:tcPr>
            <w:tcW w:w="863" w:type="dxa"/>
            <w:shd w:val="clear" w:color="auto" w:fill="auto"/>
            <w:noWrap/>
          </w:tcPr>
          <w:p w14:paraId="302C150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84E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1640" w:type="dxa"/>
            <w:shd w:val="clear" w:color="auto" w:fill="auto"/>
            <w:noWrap/>
          </w:tcPr>
          <w:p w14:paraId="48BF704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RSRP_122</w:t>
            </w:r>
          </w:p>
        </w:tc>
        <w:tc>
          <w:tcPr>
            <w:tcW w:w="2608" w:type="dxa"/>
            <w:shd w:val="clear" w:color="auto" w:fill="auto"/>
            <w:noWrap/>
          </w:tcPr>
          <w:p w14:paraId="03DE5B7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-35≤SRS-RSRP&lt;-34</w:t>
            </w:r>
          </w:p>
        </w:tc>
        <w:tc>
          <w:tcPr>
            <w:tcW w:w="863" w:type="dxa"/>
            <w:shd w:val="clear" w:color="auto" w:fill="auto"/>
            <w:noWrap/>
          </w:tcPr>
          <w:p w14:paraId="2AE93BC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080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640" w:type="dxa"/>
            <w:shd w:val="clear" w:color="auto" w:fill="auto"/>
            <w:noWrap/>
          </w:tcPr>
          <w:p w14:paraId="512B507E">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RSRP_123</w:t>
            </w:r>
          </w:p>
        </w:tc>
        <w:tc>
          <w:tcPr>
            <w:tcW w:w="2608" w:type="dxa"/>
            <w:shd w:val="clear" w:color="auto" w:fill="auto"/>
            <w:noWrap/>
          </w:tcPr>
          <w:p w14:paraId="2781255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-34≤SRS-RSRP&lt;-33</w:t>
            </w:r>
          </w:p>
        </w:tc>
        <w:tc>
          <w:tcPr>
            <w:tcW w:w="863" w:type="dxa"/>
            <w:shd w:val="clear" w:color="auto" w:fill="auto"/>
            <w:noWrap/>
          </w:tcPr>
          <w:p w14:paraId="5A5CE09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D56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D73D219">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RSRP_124</w:t>
            </w:r>
          </w:p>
        </w:tc>
        <w:tc>
          <w:tcPr>
            <w:tcW w:w="2608" w:type="dxa"/>
            <w:shd w:val="clear" w:color="auto" w:fill="auto"/>
            <w:noWrap/>
          </w:tcPr>
          <w:p w14:paraId="1FDBA22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-33≤SRS-RSRP&lt;-32</w:t>
            </w:r>
          </w:p>
        </w:tc>
        <w:tc>
          <w:tcPr>
            <w:tcW w:w="863" w:type="dxa"/>
            <w:shd w:val="clear" w:color="auto" w:fill="auto"/>
            <w:noWrap/>
          </w:tcPr>
          <w:p w14:paraId="68D123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F8F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4D90CD4">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RSRP_125</w:t>
            </w:r>
          </w:p>
        </w:tc>
        <w:tc>
          <w:tcPr>
            <w:tcW w:w="2608" w:type="dxa"/>
            <w:shd w:val="clear" w:color="auto" w:fill="auto"/>
            <w:noWrap/>
          </w:tcPr>
          <w:p w14:paraId="62C8B43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-32≤SRS-RSRP&lt;-31</w:t>
            </w:r>
          </w:p>
        </w:tc>
        <w:tc>
          <w:tcPr>
            <w:tcW w:w="863" w:type="dxa"/>
            <w:shd w:val="clear" w:color="auto" w:fill="auto"/>
            <w:noWrap/>
          </w:tcPr>
          <w:p w14:paraId="1C92E12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709A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40" w:type="dxa"/>
            <w:shd w:val="clear" w:color="auto" w:fill="auto"/>
            <w:noWrap/>
          </w:tcPr>
          <w:p w14:paraId="56E4F9F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RSRP_126</w:t>
            </w:r>
          </w:p>
        </w:tc>
        <w:tc>
          <w:tcPr>
            <w:tcW w:w="2608" w:type="dxa"/>
            <w:shd w:val="clear" w:color="auto" w:fill="auto"/>
            <w:noWrap/>
          </w:tcPr>
          <w:p w14:paraId="39DC7CE1">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-31≤SRS-RSRP</w:t>
            </w:r>
          </w:p>
        </w:tc>
        <w:tc>
          <w:tcPr>
            <w:tcW w:w="863" w:type="dxa"/>
            <w:shd w:val="clear" w:color="auto" w:fill="auto"/>
            <w:noWrap/>
          </w:tcPr>
          <w:p w14:paraId="13C2D48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bl>
    <w:p w14:paraId="5C9BA1C1">
      <w:pPr>
        <w:spacing w:after="180" w:line="240" w:lineRule="exact"/>
        <w:rPr>
          <w:rFonts w:hint="eastAsia" w:ascii="Times New Roman" w:hAnsi="Times New Roman" w:eastAsia="等线"/>
          <w:bCs/>
          <w:iCs/>
          <w:sz w:val="20"/>
          <w:szCs w:val="20"/>
          <w:lang w:val="en-US" w:eastAsia="zh-CN"/>
        </w:rPr>
      </w:pPr>
    </w:p>
    <w:p w14:paraId="1FE6151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case 3a/3b, in addition to UL-RTOA and UL SRS-RSRPP, it is proposed to reuse legacy report mapping for UL SRS-RSRP.</w:t>
      </w:r>
    </w:p>
    <w:p w14:paraId="27FD147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legacy gNB Rx-Tx time difference, except reporting mapping, measurement accuracy requirements are also defined, the existing requirements are duplicated as following.</w:t>
      </w:r>
    </w:p>
    <w:p w14:paraId="67379C24">
      <w:pPr>
        <w:pStyle w:val="19"/>
      </w:pPr>
      <w:r>
        <w:t>Table 13.2.2.2-1: gNB Rx-Tx time difference absolute accuracy in FR1 for gNB type 1-C, 1-H and 1-O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801"/>
        <w:gridCol w:w="2347"/>
      </w:tblGrid>
      <w:tr w14:paraId="5F46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0DD205A">
            <w:pPr>
              <w:pStyle w:val="20"/>
              <w:spacing w:after="180"/>
            </w:pPr>
            <w:r>
              <w:t>Accuracy</w:t>
            </w:r>
          </w:p>
        </w:tc>
        <w:tc>
          <w:tcPr>
            <w:tcW w:w="2074" w:type="dxa"/>
            <w:noWrap w:val="0"/>
            <w:vAlign w:val="top"/>
          </w:tcPr>
          <w:p w14:paraId="34E54B92">
            <w:pPr>
              <w:pStyle w:val="20"/>
              <w:spacing w:after="180"/>
            </w:pPr>
            <w:r>
              <w:t>SRS Ês/Iot</w:t>
            </w:r>
          </w:p>
        </w:tc>
        <w:tc>
          <w:tcPr>
            <w:tcW w:w="1801" w:type="dxa"/>
            <w:noWrap w:val="0"/>
            <w:vAlign w:val="top"/>
          </w:tcPr>
          <w:p w14:paraId="56266DC0">
            <w:pPr>
              <w:pStyle w:val="20"/>
              <w:spacing w:after="180"/>
            </w:pPr>
            <w:r>
              <w:t>SCS</w:t>
            </w:r>
          </w:p>
        </w:tc>
        <w:tc>
          <w:tcPr>
            <w:tcW w:w="2347" w:type="dxa"/>
            <w:noWrap w:val="0"/>
            <w:vAlign w:val="top"/>
          </w:tcPr>
          <w:p w14:paraId="01677AE6">
            <w:pPr>
              <w:pStyle w:val="20"/>
              <w:spacing w:after="180"/>
            </w:pPr>
            <w:r>
              <w:t>SRS bandwidth range</w:t>
            </w:r>
          </w:p>
        </w:tc>
      </w:tr>
      <w:tr w14:paraId="6A6C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F212317">
            <w:pPr>
              <w:pStyle w:val="20"/>
              <w:spacing w:after="180"/>
              <w:rPr>
                <w:lang w:eastAsia="zh-CN"/>
              </w:rPr>
            </w:pPr>
            <w:r>
              <w:rPr>
                <w:lang w:eastAsia="zh-CN"/>
              </w:rPr>
              <w:t>Unit: Tc</w:t>
            </w:r>
          </w:p>
        </w:tc>
        <w:tc>
          <w:tcPr>
            <w:tcW w:w="2074" w:type="dxa"/>
            <w:noWrap w:val="0"/>
            <w:vAlign w:val="top"/>
          </w:tcPr>
          <w:p w14:paraId="39F89B7E">
            <w:pPr>
              <w:pStyle w:val="20"/>
              <w:spacing w:after="180"/>
              <w:rPr>
                <w:lang w:eastAsia="zh-CN"/>
              </w:rPr>
            </w:pPr>
            <w:r>
              <w:rPr>
                <w:lang w:eastAsia="zh-CN"/>
              </w:rPr>
              <w:t>Unit: dB</w:t>
            </w:r>
          </w:p>
        </w:tc>
        <w:tc>
          <w:tcPr>
            <w:tcW w:w="1801" w:type="dxa"/>
            <w:noWrap w:val="0"/>
            <w:vAlign w:val="top"/>
          </w:tcPr>
          <w:p w14:paraId="6DFD00EC">
            <w:pPr>
              <w:pStyle w:val="20"/>
              <w:spacing w:after="180"/>
              <w:rPr>
                <w:lang w:eastAsia="zh-CN"/>
              </w:rPr>
            </w:pPr>
            <w:r>
              <w:rPr>
                <w:lang w:eastAsia="zh-CN"/>
              </w:rPr>
              <w:t>Unit: kHz</w:t>
            </w:r>
          </w:p>
        </w:tc>
        <w:tc>
          <w:tcPr>
            <w:tcW w:w="2347" w:type="dxa"/>
            <w:noWrap w:val="0"/>
            <w:vAlign w:val="top"/>
          </w:tcPr>
          <w:p w14:paraId="59BAC353">
            <w:pPr>
              <w:pStyle w:val="20"/>
              <w:spacing w:after="180"/>
              <w:rPr>
                <w:lang w:eastAsia="zh-CN"/>
              </w:rPr>
            </w:pPr>
            <w:r>
              <w:rPr>
                <w:lang w:eastAsia="zh-CN"/>
              </w:rPr>
              <w:t>Unit: RB</w:t>
            </w:r>
          </w:p>
        </w:tc>
      </w:tr>
      <w:tr w14:paraId="40FD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22F1344E">
            <w:pPr>
              <w:pStyle w:val="21"/>
              <w:spacing w:after="180"/>
            </w:pPr>
            <w:r>
              <w:rPr>
                <w:rFonts w:cs="Arial"/>
                <w:szCs w:val="18"/>
                <w:lang w:eastAsia="zh-CN"/>
              </w:rPr>
              <w:t>123</w:t>
            </w:r>
          </w:p>
        </w:tc>
        <w:tc>
          <w:tcPr>
            <w:tcW w:w="2074" w:type="dxa"/>
            <w:vMerge w:val="restart"/>
            <w:noWrap w:val="0"/>
            <w:vAlign w:val="top"/>
          </w:tcPr>
          <w:p w14:paraId="4A661D9F">
            <w:pPr>
              <w:pStyle w:val="21"/>
              <w:spacing w:after="180"/>
            </w:pPr>
            <w:r>
              <w:t>≥ -13</w:t>
            </w:r>
          </w:p>
        </w:tc>
        <w:tc>
          <w:tcPr>
            <w:tcW w:w="1801" w:type="dxa"/>
            <w:vMerge w:val="restart"/>
            <w:noWrap w:val="0"/>
            <w:vAlign w:val="top"/>
          </w:tcPr>
          <w:p w14:paraId="1B25F74A">
            <w:pPr>
              <w:pStyle w:val="21"/>
              <w:spacing w:after="180"/>
              <w:rPr>
                <w:lang w:eastAsia="zh-CN"/>
              </w:rPr>
            </w:pPr>
            <w:r>
              <w:rPr>
                <w:rFonts w:hint="eastAsia"/>
                <w:lang w:eastAsia="zh-CN"/>
              </w:rPr>
              <w:t>1</w:t>
            </w:r>
            <w:r>
              <w:rPr>
                <w:lang w:eastAsia="zh-CN"/>
              </w:rPr>
              <w:t>5</w:t>
            </w:r>
          </w:p>
        </w:tc>
        <w:tc>
          <w:tcPr>
            <w:tcW w:w="2347" w:type="dxa"/>
            <w:noWrap w:val="0"/>
            <w:vAlign w:val="top"/>
          </w:tcPr>
          <w:p w14:paraId="3A3CD426">
            <w:pPr>
              <w:pStyle w:val="21"/>
              <w:spacing w:after="180"/>
              <w:rPr>
                <w:lang w:eastAsia="zh-CN"/>
              </w:rPr>
            </w:pPr>
            <w:r>
              <w:rPr>
                <w:lang w:eastAsia="zh-CN"/>
              </w:rPr>
              <w:t xml:space="preserve"> 44 ≤ BW ≤ 84</w:t>
            </w:r>
          </w:p>
        </w:tc>
      </w:tr>
      <w:tr w14:paraId="43CA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780E636">
            <w:pPr>
              <w:pStyle w:val="21"/>
              <w:spacing w:after="180"/>
              <w:rPr>
                <w:lang w:eastAsia="zh-CN"/>
              </w:rPr>
            </w:pPr>
            <w:r>
              <w:rPr>
                <w:rFonts w:cs="Arial"/>
                <w:szCs w:val="18"/>
                <w:lang w:eastAsia="zh-CN"/>
              </w:rPr>
              <w:t>48</w:t>
            </w:r>
          </w:p>
        </w:tc>
        <w:tc>
          <w:tcPr>
            <w:tcW w:w="2074" w:type="dxa"/>
            <w:vMerge w:val="continue"/>
            <w:noWrap w:val="0"/>
            <w:vAlign w:val="top"/>
          </w:tcPr>
          <w:p w14:paraId="77AF77CC">
            <w:pPr>
              <w:pStyle w:val="21"/>
              <w:spacing w:after="180"/>
            </w:pPr>
          </w:p>
        </w:tc>
        <w:tc>
          <w:tcPr>
            <w:tcW w:w="1801" w:type="dxa"/>
            <w:vMerge w:val="continue"/>
            <w:noWrap w:val="0"/>
            <w:vAlign w:val="top"/>
          </w:tcPr>
          <w:p w14:paraId="3548934F">
            <w:pPr>
              <w:pStyle w:val="21"/>
              <w:spacing w:after="180"/>
            </w:pPr>
          </w:p>
        </w:tc>
        <w:tc>
          <w:tcPr>
            <w:tcW w:w="2347" w:type="dxa"/>
            <w:noWrap w:val="0"/>
            <w:vAlign w:val="top"/>
          </w:tcPr>
          <w:p w14:paraId="4DF7665C">
            <w:pPr>
              <w:pStyle w:val="21"/>
              <w:spacing w:after="180"/>
              <w:rPr>
                <w:lang w:eastAsia="zh-CN"/>
              </w:rPr>
            </w:pPr>
            <w:r>
              <w:rPr>
                <w:lang w:eastAsia="zh-CN"/>
              </w:rPr>
              <w:t xml:space="preserve"> 88 ≤ BW ≤ 168</w:t>
            </w:r>
          </w:p>
        </w:tc>
      </w:tr>
      <w:tr w14:paraId="60ED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CB60411">
            <w:pPr>
              <w:pStyle w:val="21"/>
              <w:spacing w:after="180"/>
            </w:pPr>
            <w:r>
              <w:rPr>
                <w:rFonts w:cs="Arial"/>
                <w:szCs w:val="18"/>
                <w:lang w:eastAsia="zh-CN"/>
              </w:rPr>
              <w:t>17</w:t>
            </w:r>
          </w:p>
        </w:tc>
        <w:tc>
          <w:tcPr>
            <w:tcW w:w="2074" w:type="dxa"/>
            <w:vMerge w:val="continue"/>
            <w:noWrap w:val="0"/>
            <w:vAlign w:val="top"/>
          </w:tcPr>
          <w:p w14:paraId="7A277A11">
            <w:pPr>
              <w:pStyle w:val="21"/>
              <w:spacing w:after="180"/>
            </w:pPr>
          </w:p>
        </w:tc>
        <w:tc>
          <w:tcPr>
            <w:tcW w:w="1801" w:type="dxa"/>
            <w:vMerge w:val="continue"/>
            <w:noWrap w:val="0"/>
            <w:vAlign w:val="top"/>
          </w:tcPr>
          <w:p w14:paraId="742B81DC">
            <w:pPr>
              <w:pStyle w:val="21"/>
              <w:spacing w:after="180"/>
            </w:pPr>
          </w:p>
        </w:tc>
        <w:tc>
          <w:tcPr>
            <w:tcW w:w="2347" w:type="dxa"/>
            <w:noWrap w:val="0"/>
            <w:vAlign w:val="top"/>
          </w:tcPr>
          <w:p w14:paraId="047B4324">
            <w:pPr>
              <w:pStyle w:val="21"/>
              <w:spacing w:after="180"/>
              <w:rPr>
                <w:lang w:eastAsia="zh-CN"/>
              </w:rPr>
            </w:pPr>
            <w:r>
              <w:rPr>
                <w:lang w:eastAsia="zh-CN"/>
              </w:rPr>
              <w:t>176 ≤ BW</w:t>
            </w:r>
          </w:p>
        </w:tc>
      </w:tr>
      <w:tr w14:paraId="525B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A8CD2A6">
            <w:pPr>
              <w:pStyle w:val="21"/>
              <w:spacing w:after="180"/>
              <w:rPr>
                <w:lang w:eastAsia="zh-CN"/>
              </w:rPr>
            </w:pPr>
            <w:r>
              <w:rPr>
                <w:rFonts w:cs="Arial"/>
                <w:szCs w:val="18"/>
                <w:lang w:eastAsia="zh-CN"/>
              </w:rPr>
              <w:t>122</w:t>
            </w:r>
          </w:p>
        </w:tc>
        <w:tc>
          <w:tcPr>
            <w:tcW w:w="2074" w:type="dxa"/>
            <w:vMerge w:val="restart"/>
            <w:noWrap w:val="0"/>
            <w:vAlign w:val="top"/>
          </w:tcPr>
          <w:p w14:paraId="4F40CCDF">
            <w:pPr>
              <w:pStyle w:val="21"/>
              <w:spacing w:after="180"/>
            </w:pPr>
            <w:r>
              <w:t>≥ +3</w:t>
            </w:r>
          </w:p>
        </w:tc>
        <w:tc>
          <w:tcPr>
            <w:tcW w:w="1801" w:type="dxa"/>
            <w:vMerge w:val="continue"/>
            <w:noWrap w:val="0"/>
            <w:vAlign w:val="top"/>
          </w:tcPr>
          <w:p w14:paraId="19B79267">
            <w:pPr>
              <w:pStyle w:val="21"/>
              <w:spacing w:after="180"/>
            </w:pPr>
          </w:p>
        </w:tc>
        <w:tc>
          <w:tcPr>
            <w:tcW w:w="2347" w:type="dxa"/>
            <w:noWrap w:val="0"/>
            <w:vAlign w:val="top"/>
          </w:tcPr>
          <w:p w14:paraId="4E67D046">
            <w:pPr>
              <w:pStyle w:val="21"/>
              <w:spacing w:after="180"/>
              <w:rPr>
                <w:lang w:eastAsia="zh-CN"/>
              </w:rPr>
            </w:pPr>
            <w:r>
              <w:rPr>
                <w:lang w:eastAsia="zh-CN"/>
              </w:rPr>
              <w:t>24 ≤ BW ≤ 40</w:t>
            </w:r>
          </w:p>
        </w:tc>
      </w:tr>
      <w:tr w14:paraId="70B2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2353E2B">
            <w:pPr>
              <w:pStyle w:val="21"/>
              <w:spacing w:after="180"/>
            </w:pPr>
            <w:r>
              <w:rPr>
                <w:rFonts w:cs="Arial"/>
                <w:szCs w:val="18"/>
                <w:lang w:eastAsia="zh-CN"/>
              </w:rPr>
              <w:t>62</w:t>
            </w:r>
          </w:p>
        </w:tc>
        <w:tc>
          <w:tcPr>
            <w:tcW w:w="2074" w:type="dxa"/>
            <w:vMerge w:val="continue"/>
            <w:noWrap w:val="0"/>
            <w:vAlign w:val="top"/>
          </w:tcPr>
          <w:p w14:paraId="0548528D">
            <w:pPr>
              <w:pStyle w:val="21"/>
              <w:spacing w:after="180"/>
            </w:pPr>
          </w:p>
        </w:tc>
        <w:tc>
          <w:tcPr>
            <w:tcW w:w="1801" w:type="dxa"/>
            <w:vMerge w:val="continue"/>
            <w:noWrap w:val="0"/>
            <w:vAlign w:val="top"/>
          </w:tcPr>
          <w:p w14:paraId="64A45952">
            <w:pPr>
              <w:pStyle w:val="21"/>
              <w:spacing w:after="180"/>
            </w:pPr>
          </w:p>
        </w:tc>
        <w:tc>
          <w:tcPr>
            <w:tcW w:w="2347" w:type="dxa"/>
            <w:noWrap w:val="0"/>
            <w:vAlign w:val="top"/>
          </w:tcPr>
          <w:p w14:paraId="25114952">
            <w:pPr>
              <w:pStyle w:val="21"/>
              <w:spacing w:after="180"/>
            </w:pPr>
            <w:r>
              <w:rPr>
                <w:lang w:eastAsia="zh-CN"/>
              </w:rPr>
              <w:t xml:space="preserve"> 44 ≤ BW ≤ 84</w:t>
            </w:r>
          </w:p>
        </w:tc>
      </w:tr>
      <w:tr w14:paraId="0C1C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48FA62D">
            <w:pPr>
              <w:pStyle w:val="21"/>
              <w:spacing w:after="180"/>
              <w:rPr>
                <w:lang w:eastAsia="zh-CN"/>
              </w:rPr>
            </w:pPr>
            <w:r>
              <w:rPr>
                <w:rFonts w:cs="Arial"/>
                <w:szCs w:val="18"/>
                <w:lang w:eastAsia="zh-CN"/>
              </w:rPr>
              <w:t>32</w:t>
            </w:r>
          </w:p>
        </w:tc>
        <w:tc>
          <w:tcPr>
            <w:tcW w:w="2074" w:type="dxa"/>
            <w:vMerge w:val="continue"/>
            <w:noWrap w:val="0"/>
            <w:vAlign w:val="top"/>
          </w:tcPr>
          <w:p w14:paraId="0E349A40">
            <w:pPr>
              <w:pStyle w:val="21"/>
              <w:spacing w:after="180"/>
            </w:pPr>
          </w:p>
        </w:tc>
        <w:tc>
          <w:tcPr>
            <w:tcW w:w="1801" w:type="dxa"/>
            <w:vMerge w:val="continue"/>
            <w:noWrap w:val="0"/>
            <w:vAlign w:val="top"/>
          </w:tcPr>
          <w:p w14:paraId="4746E1B9">
            <w:pPr>
              <w:pStyle w:val="21"/>
              <w:spacing w:after="180"/>
            </w:pPr>
          </w:p>
        </w:tc>
        <w:tc>
          <w:tcPr>
            <w:tcW w:w="2347" w:type="dxa"/>
            <w:noWrap w:val="0"/>
            <w:vAlign w:val="top"/>
          </w:tcPr>
          <w:p w14:paraId="5AA4B7B8">
            <w:pPr>
              <w:pStyle w:val="21"/>
              <w:spacing w:after="180"/>
              <w:rPr>
                <w:lang w:eastAsia="zh-CN"/>
              </w:rPr>
            </w:pPr>
            <w:r>
              <w:rPr>
                <w:lang w:eastAsia="zh-CN"/>
              </w:rPr>
              <w:t xml:space="preserve"> 88 ≤ BW ≤ 168</w:t>
            </w:r>
          </w:p>
        </w:tc>
      </w:tr>
      <w:tr w14:paraId="67D8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1B5F158">
            <w:pPr>
              <w:pStyle w:val="21"/>
              <w:spacing w:after="180"/>
            </w:pPr>
            <w:r>
              <w:rPr>
                <w:rFonts w:cs="Arial"/>
                <w:szCs w:val="18"/>
                <w:lang w:eastAsia="zh-CN"/>
              </w:rPr>
              <w:t>16</w:t>
            </w:r>
          </w:p>
        </w:tc>
        <w:tc>
          <w:tcPr>
            <w:tcW w:w="2074" w:type="dxa"/>
            <w:vMerge w:val="continue"/>
            <w:noWrap w:val="0"/>
            <w:vAlign w:val="top"/>
          </w:tcPr>
          <w:p w14:paraId="714FA0CB">
            <w:pPr>
              <w:pStyle w:val="21"/>
              <w:spacing w:after="180"/>
            </w:pPr>
          </w:p>
        </w:tc>
        <w:tc>
          <w:tcPr>
            <w:tcW w:w="1801" w:type="dxa"/>
            <w:vMerge w:val="continue"/>
            <w:noWrap w:val="0"/>
            <w:vAlign w:val="top"/>
          </w:tcPr>
          <w:p w14:paraId="3136958D">
            <w:pPr>
              <w:pStyle w:val="21"/>
              <w:spacing w:after="180"/>
            </w:pPr>
          </w:p>
        </w:tc>
        <w:tc>
          <w:tcPr>
            <w:tcW w:w="2347" w:type="dxa"/>
            <w:noWrap w:val="0"/>
            <w:vAlign w:val="top"/>
          </w:tcPr>
          <w:p w14:paraId="1CA691DB">
            <w:pPr>
              <w:pStyle w:val="21"/>
              <w:spacing w:after="180"/>
            </w:pPr>
            <w:r>
              <w:rPr>
                <w:lang w:eastAsia="zh-CN"/>
              </w:rPr>
              <w:t>176 ≤ BW</w:t>
            </w:r>
          </w:p>
        </w:tc>
      </w:tr>
      <w:tr w14:paraId="5177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6B00D22">
            <w:pPr>
              <w:pStyle w:val="21"/>
              <w:spacing w:after="180"/>
              <w:rPr>
                <w:lang w:eastAsia="zh-CN"/>
              </w:rPr>
            </w:pPr>
            <w:r>
              <w:rPr>
                <w:rFonts w:cs="Arial"/>
                <w:szCs w:val="18"/>
                <w:lang w:eastAsia="zh-CN"/>
              </w:rPr>
              <w:t>42</w:t>
            </w:r>
          </w:p>
        </w:tc>
        <w:tc>
          <w:tcPr>
            <w:tcW w:w="2074" w:type="dxa"/>
            <w:vMerge w:val="restart"/>
            <w:noWrap w:val="0"/>
            <w:vAlign w:val="top"/>
          </w:tcPr>
          <w:p w14:paraId="686D840D">
            <w:pPr>
              <w:pStyle w:val="21"/>
              <w:spacing w:after="180"/>
            </w:pPr>
            <w:r>
              <w:t>≥ -13</w:t>
            </w:r>
          </w:p>
        </w:tc>
        <w:tc>
          <w:tcPr>
            <w:tcW w:w="1801" w:type="dxa"/>
            <w:vMerge w:val="restart"/>
            <w:noWrap w:val="0"/>
            <w:vAlign w:val="top"/>
          </w:tcPr>
          <w:p w14:paraId="67147863">
            <w:pPr>
              <w:pStyle w:val="21"/>
              <w:spacing w:after="180"/>
              <w:rPr>
                <w:lang w:eastAsia="zh-CN"/>
              </w:rPr>
            </w:pPr>
            <w:r>
              <w:rPr>
                <w:lang w:eastAsia="zh-CN"/>
              </w:rPr>
              <w:t>30</w:t>
            </w:r>
          </w:p>
        </w:tc>
        <w:tc>
          <w:tcPr>
            <w:tcW w:w="2347" w:type="dxa"/>
            <w:noWrap w:val="0"/>
            <w:vAlign w:val="top"/>
          </w:tcPr>
          <w:p w14:paraId="4D82BF4C">
            <w:pPr>
              <w:pStyle w:val="21"/>
              <w:spacing w:after="180"/>
              <w:rPr>
                <w:lang w:eastAsia="zh-CN"/>
              </w:rPr>
            </w:pPr>
            <w:r>
              <w:rPr>
                <w:lang w:eastAsia="zh-CN"/>
              </w:rPr>
              <w:t xml:space="preserve"> 48 ≤ BW ≤ 84</w:t>
            </w:r>
          </w:p>
        </w:tc>
      </w:tr>
      <w:tr w14:paraId="0188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6E1FDD9">
            <w:pPr>
              <w:pStyle w:val="21"/>
              <w:spacing w:after="180"/>
            </w:pPr>
            <w:r>
              <w:rPr>
                <w:rFonts w:cs="Arial"/>
                <w:szCs w:val="18"/>
                <w:lang w:eastAsia="zh-CN"/>
              </w:rPr>
              <w:t>24</w:t>
            </w:r>
          </w:p>
        </w:tc>
        <w:tc>
          <w:tcPr>
            <w:tcW w:w="2074" w:type="dxa"/>
            <w:vMerge w:val="continue"/>
            <w:noWrap w:val="0"/>
            <w:vAlign w:val="top"/>
          </w:tcPr>
          <w:p w14:paraId="1296B04C">
            <w:pPr>
              <w:pStyle w:val="21"/>
              <w:spacing w:after="180"/>
            </w:pPr>
          </w:p>
        </w:tc>
        <w:tc>
          <w:tcPr>
            <w:tcW w:w="1801" w:type="dxa"/>
            <w:vMerge w:val="continue"/>
            <w:noWrap w:val="0"/>
            <w:vAlign w:val="top"/>
          </w:tcPr>
          <w:p w14:paraId="55D651F2">
            <w:pPr>
              <w:pStyle w:val="21"/>
              <w:spacing w:after="180"/>
            </w:pPr>
          </w:p>
        </w:tc>
        <w:tc>
          <w:tcPr>
            <w:tcW w:w="2347" w:type="dxa"/>
            <w:noWrap w:val="0"/>
            <w:vAlign w:val="top"/>
          </w:tcPr>
          <w:p w14:paraId="15868D5C">
            <w:pPr>
              <w:pStyle w:val="21"/>
              <w:spacing w:after="180"/>
            </w:pPr>
            <w:r>
              <w:rPr>
                <w:lang w:eastAsia="zh-CN"/>
              </w:rPr>
              <w:t xml:space="preserve"> 88 ≤ BW ≤ 168</w:t>
            </w:r>
          </w:p>
        </w:tc>
      </w:tr>
      <w:tr w14:paraId="2FE7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F60FDA8">
            <w:pPr>
              <w:pStyle w:val="21"/>
              <w:spacing w:after="180"/>
              <w:rPr>
                <w:lang w:eastAsia="zh-CN"/>
              </w:rPr>
            </w:pPr>
            <w:r>
              <w:rPr>
                <w:lang w:eastAsia="zh-CN"/>
              </w:rPr>
              <w:t>8</w:t>
            </w:r>
          </w:p>
        </w:tc>
        <w:tc>
          <w:tcPr>
            <w:tcW w:w="2074" w:type="dxa"/>
            <w:vMerge w:val="continue"/>
            <w:noWrap w:val="0"/>
            <w:vAlign w:val="top"/>
          </w:tcPr>
          <w:p w14:paraId="3C7CE1EB">
            <w:pPr>
              <w:pStyle w:val="21"/>
              <w:spacing w:after="180"/>
            </w:pPr>
          </w:p>
        </w:tc>
        <w:tc>
          <w:tcPr>
            <w:tcW w:w="1801" w:type="dxa"/>
            <w:vMerge w:val="continue"/>
            <w:noWrap w:val="0"/>
            <w:vAlign w:val="top"/>
          </w:tcPr>
          <w:p w14:paraId="2A9C906E">
            <w:pPr>
              <w:pStyle w:val="21"/>
              <w:spacing w:after="180"/>
            </w:pPr>
          </w:p>
        </w:tc>
        <w:tc>
          <w:tcPr>
            <w:tcW w:w="2347" w:type="dxa"/>
            <w:noWrap w:val="0"/>
            <w:vAlign w:val="top"/>
          </w:tcPr>
          <w:p w14:paraId="030D9061">
            <w:pPr>
              <w:pStyle w:val="21"/>
              <w:spacing w:after="180"/>
              <w:rPr>
                <w:lang w:eastAsia="zh-CN"/>
              </w:rPr>
            </w:pPr>
            <w:r>
              <w:rPr>
                <w:lang w:eastAsia="zh-CN"/>
              </w:rPr>
              <w:t>176 ≤ BW</w:t>
            </w:r>
          </w:p>
        </w:tc>
      </w:tr>
      <w:tr w14:paraId="7D17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BCD99E1">
            <w:pPr>
              <w:pStyle w:val="21"/>
              <w:spacing w:after="180"/>
              <w:rPr>
                <w:lang w:eastAsia="zh-CN"/>
              </w:rPr>
            </w:pPr>
            <w:r>
              <w:rPr>
                <w:lang w:eastAsia="zh-CN"/>
              </w:rPr>
              <w:t>32</w:t>
            </w:r>
          </w:p>
        </w:tc>
        <w:tc>
          <w:tcPr>
            <w:tcW w:w="2074" w:type="dxa"/>
            <w:vMerge w:val="restart"/>
            <w:noWrap w:val="0"/>
            <w:vAlign w:val="top"/>
          </w:tcPr>
          <w:p w14:paraId="338D049D">
            <w:pPr>
              <w:pStyle w:val="21"/>
              <w:spacing w:after="180"/>
            </w:pPr>
            <w:r>
              <w:t>≥ +3</w:t>
            </w:r>
          </w:p>
        </w:tc>
        <w:tc>
          <w:tcPr>
            <w:tcW w:w="1801" w:type="dxa"/>
            <w:vMerge w:val="continue"/>
            <w:noWrap w:val="0"/>
            <w:vAlign w:val="top"/>
          </w:tcPr>
          <w:p w14:paraId="24B73DD9">
            <w:pPr>
              <w:pStyle w:val="21"/>
              <w:spacing w:after="180"/>
            </w:pPr>
          </w:p>
        </w:tc>
        <w:tc>
          <w:tcPr>
            <w:tcW w:w="2347" w:type="dxa"/>
            <w:noWrap w:val="0"/>
            <w:vAlign w:val="top"/>
          </w:tcPr>
          <w:p w14:paraId="188C3D2C">
            <w:pPr>
              <w:pStyle w:val="21"/>
              <w:spacing w:after="180"/>
              <w:rPr>
                <w:lang w:eastAsia="zh-CN"/>
              </w:rPr>
            </w:pPr>
            <w:r>
              <w:rPr>
                <w:lang w:eastAsia="zh-CN"/>
              </w:rPr>
              <w:t xml:space="preserve"> 48 ≤ BW ≤ 84</w:t>
            </w:r>
          </w:p>
        </w:tc>
      </w:tr>
      <w:tr w14:paraId="2523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597BA0A">
            <w:pPr>
              <w:pStyle w:val="21"/>
              <w:spacing w:after="180"/>
            </w:pPr>
            <w:r>
              <w:rPr>
                <w:lang w:eastAsia="zh-CN"/>
              </w:rPr>
              <w:t>17</w:t>
            </w:r>
          </w:p>
        </w:tc>
        <w:tc>
          <w:tcPr>
            <w:tcW w:w="2074" w:type="dxa"/>
            <w:vMerge w:val="continue"/>
            <w:noWrap w:val="0"/>
            <w:vAlign w:val="top"/>
          </w:tcPr>
          <w:p w14:paraId="050F3A93">
            <w:pPr>
              <w:pStyle w:val="21"/>
              <w:spacing w:after="180"/>
            </w:pPr>
          </w:p>
        </w:tc>
        <w:tc>
          <w:tcPr>
            <w:tcW w:w="1801" w:type="dxa"/>
            <w:vMerge w:val="continue"/>
            <w:noWrap w:val="0"/>
            <w:vAlign w:val="top"/>
          </w:tcPr>
          <w:p w14:paraId="0F7945C2">
            <w:pPr>
              <w:pStyle w:val="21"/>
              <w:spacing w:after="180"/>
            </w:pPr>
          </w:p>
        </w:tc>
        <w:tc>
          <w:tcPr>
            <w:tcW w:w="2347" w:type="dxa"/>
            <w:noWrap w:val="0"/>
            <w:vAlign w:val="top"/>
          </w:tcPr>
          <w:p w14:paraId="7842F1B9">
            <w:pPr>
              <w:pStyle w:val="21"/>
              <w:spacing w:after="180"/>
            </w:pPr>
            <w:r>
              <w:rPr>
                <w:lang w:eastAsia="zh-CN"/>
              </w:rPr>
              <w:t xml:space="preserve"> 88 ≤ BW ≤ 168</w:t>
            </w:r>
          </w:p>
        </w:tc>
      </w:tr>
      <w:tr w14:paraId="0FE8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C34497B">
            <w:pPr>
              <w:pStyle w:val="21"/>
              <w:spacing w:after="180"/>
              <w:rPr>
                <w:lang w:eastAsia="zh-CN"/>
              </w:rPr>
            </w:pPr>
            <w:r>
              <w:rPr>
                <w:lang w:eastAsia="zh-CN"/>
              </w:rPr>
              <w:t>9</w:t>
            </w:r>
          </w:p>
        </w:tc>
        <w:tc>
          <w:tcPr>
            <w:tcW w:w="2074" w:type="dxa"/>
            <w:vMerge w:val="continue"/>
            <w:noWrap w:val="0"/>
            <w:vAlign w:val="top"/>
          </w:tcPr>
          <w:p w14:paraId="01097258">
            <w:pPr>
              <w:pStyle w:val="21"/>
              <w:spacing w:after="180"/>
            </w:pPr>
          </w:p>
        </w:tc>
        <w:tc>
          <w:tcPr>
            <w:tcW w:w="1801" w:type="dxa"/>
            <w:vMerge w:val="continue"/>
            <w:noWrap w:val="0"/>
            <w:vAlign w:val="top"/>
          </w:tcPr>
          <w:p w14:paraId="3A195447">
            <w:pPr>
              <w:pStyle w:val="21"/>
              <w:spacing w:after="180"/>
            </w:pPr>
          </w:p>
        </w:tc>
        <w:tc>
          <w:tcPr>
            <w:tcW w:w="2347" w:type="dxa"/>
            <w:noWrap w:val="0"/>
            <w:vAlign w:val="top"/>
          </w:tcPr>
          <w:p w14:paraId="7525EDD1">
            <w:pPr>
              <w:pStyle w:val="21"/>
              <w:spacing w:after="180"/>
              <w:rPr>
                <w:lang w:eastAsia="zh-CN"/>
              </w:rPr>
            </w:pPr>
            <w:r>
              <w:rPr>
                <w:lang w:eastAsia="zh-CN"/>
              </w:rPr>
              <w:t>176 ≤ BW</w:t>
            </w:r>
          </w:p>
        </w:tc>
      </w:tr>
      <w:tr w14:paraId="448E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5EAD26B">
            <w:pPr>
              <w:pStyle w:val="21"/>
              <w:spacing w:after="180"/>
              <w:rPr>
                <w:lang w:eastAsia="zh-CN"/>
              </w:rPr>
            </w:pPr>
            <w:r>
              <w:rPr>
                <w:lang w:eastAsia="zh-CN"/>
              </w:rPr>
              <w:t>21</w:t>
            </w:r>
          </w:p>
        </w:tc>
        <w:tc>
          <w:tcPr>
            <w:tcW w:w="2074" w:type="dxa"/>
            <w:vMerge w:val="restart"/>
            <w:noWrap w:val="0"/>
            <w:vAlign w:val="top"/>
          </w:tcPr>
          <w:p w14:paraId="2B1E1856">
            <w:pPr>
              <w:pStyle w:val="21"/>
              <w:spacing w:after="180"/>
            </w:pPr>
            <w:r>
              <w:t>≥ -13</w:t>
            </w:r>
          </w:p>
        </w:tc>
        <w:tc>
          <w:tcPr>
            <w:tcW w:w="1801" w:type="dxa"/>
            <w:vMerge w:val="restart"/>
            <w:noWrap w:val="0"/>
            <w:vAlign w:val="top"/>
          </w:tcPr>
          <w:p w14:paraId="43ACA31A">
            <w:pPr>
              <w:pStyle w:val="21"/>
              <w:spacing w:after="180"/>
              <w:rPr>
                <w:lang w:eastAsia="zh-CN"/>
              </w:rPr>
            </w:pPr>
            <w:r>
              <w:rPr>
                <w:lang w:eastAsia="zh-CN"/>
              </w:rPr>
              <w:t>60</w:t>
            </w:r>
          </w:p>
        </w:tc>
        <w:tc>
          <w:tcPr>
            <w:tcW w:w="2347" w:type="dxa"/>
            <w:noWrap w:val="0"/>
            <w:vAlign w:val="top"/>
          </w:tcPr>
          <w:p w14:paraId="6B9D9D16">
            <w:pPr>
              <w:pStyle w:val="21"/>
              <w:spacing w:after="180"/>
              <w:rPr>
                <w:lang w:eastAsia="zh-CN"/>
              </w:rPr>
            </w:pPr>
            <w:r>
              <w:rPr>
                <w:lang w:eastAsia="zh-CN"/>
              </w:rPr>
              <w:t xml:space="preserve"> 48 ≤ BW ≤ 84</w:t>
            </w:r>
          </w:p>
        </w:tc>
      </w:tr>
      <w:tr w14:paraId="6FC9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4B7ABCC">
            <w:pPr>
              <w:pStyle w:val="21"/>
              <w:spacing w:after="180"/>
            </w:pPr>
            <w:r>
              <w:rPr>
                <w:lang w:eastAsia="zh-CN"/>
              </w:rPr>
              <w:t>12</w:t>
            </w:r>
          </w:p>
        </w:tc>
        <w:tc>
          <w:tcPr>
            <w:tcW w:w="2074" w:type="dxa"/>
            <w:vMerge w:val="continue"/>
            <w:noWrap w:val="0"/>
            <w:vAlign w:val="top"/>
          </w:tcPr>
          <w:p w14:paraId="53C0A026">
            <w:pPr>
              <w:pStyle w:val="21"/>
              <w:spacing w:after="180"/>
            </w:pPr>
          </w:p>
        </w:tc>
        <w:tc>
          <w:tcPr>
            <w:tcW w:w="1801" w:type="dxa"/>
            <w:vMerge w:val="continue"/>
            <w:noWrap w:val="0"/>
            <w:vAlign w:val="top"/>
          </w:tcPr>
          <w:p w14:paraId="18CA2271">
            <w:pPr>
              <w:pStyle w:val="21"/>
              <w:spacing w:after="180"/>
            </w:pPr>
          </w:p>
        </w:tc>
        <w:tc>
          <w:tcPr>
            <w:tcW w:w="2347" w:type="dxa"/>
            <w:noWrap w:val="0"/>
            <w:vAlign w:val="top"/>
          </w:tcPr>
          <w:p w14:paraId="64B26A20">
            <w:pPr>
              <w:pStyle w:val="21"/>
              <w:spacing w:after="180"/>
            </w:pPr>
            <w:r>
              <w:rPr>
                <w:lang w:eastAsia="zh-CN"/>
              </w:rPr>
              <w:t xml:space="preserve"> 88 ≤ BW </w:t>
            </w:r>
          </w:p>
        </w:tc>
      </w:tr>
      <w:tr w14:paraId="7B38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1D02FC3">
            <w:pPr>
              <w:pStyle w:val="21"/>
              <w:spacing w:after="180"/>
              <w:rPr>
                <w:lang w:eastAsia="zh-CN"/>
              </w:rPr>
            </w:pPr>
            <w:r>
              <w:rPr>
                <w:lang w:eastAsia="zh-CN"/>
              </w:rPr>
              <w:t>16</w:t>
            </w:r>
          </w:p>
        </w:tc>
        <w:tc>
          <w:tcPr>
            <w:tcW w:w="2074" w:type="dxa"/>
            <w:vMerge w:val="restart"/>
            <w:noWrap w:val="0"/>
            <w:vAlign w:val="top"/>
          </w:tcPr>
          <w:p w14:paraId="2DE86BD0">
            <w:pPr>
              <w:pStyle w:val="21"/>
              <w:spacing w:after="180"/>
            </w:pPr>
            <w:r>
              <w:t>≥ +3</w:t>
            </w:r>
          </w:p>
        </w:tc>
        <w:tc>
          <w:tcPr>
            <w:tcW w:w="1801" w:type="dxa"/>
            <w:vMerge w:val="continue"/>
            <w:noWrap w:val="0"/>
            <w:vAlign w:val="top"/>
          </w:tcPr>
          <w:p w14:paraId="11D843FC">
            <w:pPr>
              <w:pStyle w:val="21"/>
              <w:spacing w:after="180"/>
            </w:pPr>
          </w:p>
        </w:tc>
        <w:tc>
          <w:tcPr>
            <w:tcW w:w="2347" w:type="dxa"/>
            <w:noWrap w:val="0"/>
            <w:vAlign w:val="top"/>
          </w:tcPr>
          <w:p w14:paraId="40502783">
            <w:pPr>
              <w:pStyle w:val="21"/>
              <w:spacing w:after="180"/>
              <w:rPr>
                <w:lang w:eastAsia="zh-CN"/>
              </w:rPr>
            </w:pPr>
            <w:r>
              <w:rPr>
                <w:lang w:eastAsia="zh-CN"/>
              </w:rPr>
              <w:t xml:space="preserve"> 48 ≤ BW ≤ 84</w:t>
            </w:r>
          </w:p>
        </w:tc>
      </w:tr>
      <w:tr w14:paraId="6CDE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85C7081">
            <w:pPr>
              <w:pStyle w:val="21"/>
              <w:spacing w:after="180"/>
            </w:pPr>
            <w:r>
              <w:rPr>
                <w:lang w:eastAsia="zh-CN"/>
              </w:rPr>
              <w:t>9</w:t>
            </w:r>
          </w:p>
        </w:tc>
        <w:tc>
          <w:tcPr>
            <w:tcW w:w="2074" w:type="dxa"/>
            <w:vMerge w:val="continue"/>
            <w:noWrap w:val="0"/>
            <w:vAlign w:val="top"/>
          </w:tcPr>
          <w:p w14:paraId="53CD443D">
            <w:pPr>
              <w:pStyle w:val="21"/>
              <w:spacing w:after="180"/>
            </w:pPr>
          </w:p>
        </w:tc>
        <w:tc>
          <w:tcPr>
            <w:tcW w:w="1801" w:type="dxa"/>
            <w:vMerge w:val="continue"/>
            <w:noWrap w:val="0"/>
            <w:vAlign w:val="top"/>
          </w:tcPr>
          <w:p w14:paraId="59E2C1D7">
            <w:pPr>
              <w:pStyle w:val="21"/>
              <w:spacing w:after="180"/>
            </w:pPr>
          </w:p>
        </w:tc>
        <w:tc>
          <w:tcPr>
            <w:tcW w:w="2347" w:type="dxa"/>
            <w:noWrap w:val="0"/>
            <w:vAlign w:val="top"/>
          </w:tcPr>
          <w:p w14:paraId="3ADC8AA0">
            <w:pPr>
              <w:pStyle w:val="21"/>
              <w:spacing w:after="180"/>
            </w:pPr>
            <w:r>
              <w:rPr>
                <w:lang w:eastAsia="zh-CN"/>
              </w:rPr>
              <w:t xml:space="preserve"> 88 ≤ BW </w:t>
            </w:r>
          </w:p>
        </w:tc>
      </w:tr>
    </w:tbl>
    <w:p w14:paraId="49464C4A"/>
    <w:p w14:paraId="02C9CEAB">
      <w:pPr>
        <w:pStyle w:val="19"/>
        <w:rPr>
          <w:lang w:val="en-US"/>
        </w:rPr>
      </w:pPr>
      <w:r>
        <w:t>Table 13.2.2.2-2: gNB Rx-Tx time difference absolute accuracy in FR2 for gNB type 2-O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801"/>
        <w:gridCol w:w="2347"/>
      </w:tblGrid>
      <w:tr w14:paraId="142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4D57FB9">
            <w:pPr>
              <w:pStyle w:val="20"/>
              <w:spacing w:after="180"/>
            </w:pPr>
            <w:r>
              <w:t>Accuracy</w:t>
            </w:r>
          </w:p>
        </w:tc>
        <w:tc>
          <w:tcPr>
            <w:tcW w:w="2074" w:type="dxa"/>
            <w:noWrap w:val="0"/>
            <w:vAlign w:val="top"/>
          </w:tcPr>
          <w:p w14:paraId="4AD0279D">
            <w:pPr>
              <w:pStyle w:val="20"/>
              <w:spacing w:after="180"/>
            </w:pPr>
            <w:r>
              <w:t>SRS Ês/Iot</w:t>
            </w:r>
          </w:p>
        </w:tc>
        <w:tc>
          <w:tcPr>
            <w:tcW w:w="1801" w:type="dxa"/>
            <w:noWrap w:val="0"/>
            <w:vAlign w:val="top"/>
          </w:tcPr>
          <w:p w14:paraId="0013D137">
            <w:pPr>
              <w:pStyle w:val="20"/>
              <w:spacing w:after="180"/>
            </w:pPr>
            <w:r>
              <w:t>SCS</w:t>
            </w:r>
          </w:p>
        </w:tc>
        <w:tc>
          <w:tcPr>
            <w:tcW w:w="2347" w:type="dxa"/>
            <w:noWrap w:val="0"/>
            <w:vAlign w:val="top"/>
          </w:tcPr>
          <w:p w14:paraId="096D12B9">
            <w:pPr>
              <w:pStyle w:val="20"/>
              <w:spacing w:after="180"/>
            </w:pPr>
            <w:r>
              <w:t>SRS bandwidth range</w:t>
            </w:r>
          </w:p>
        </w:tc>
      </w:tr>
      <w:tr w14:paraId="14C6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150435B">
            <w:pPr>
              <w:pStyle w:val="20"/>
              <w:spacing w:after="180"/>
              <w:rPr>
                <w:lang w:eastAsia="zh-CN"/>
              </w:rPr>
            </w:pPr>
            <w:r>
              <w:rPr>
                <w:lang w:eastAsia="zh-CN"/>
              </w:rPr>
              <w:t>Unit: Tc</w:t>
            </w:r>
          </w:p>
        </w:tc>
        <w:tc>
          <w:tcPr>
            <w:tcW w:w="2074" w:type="dxa"/>
            <w:noWrap w:val="0"/>
            <w:vAlign w:val="top"/>
          </w:tcPr>
          <w:p w14:paraId="77758BC7">
            <w:pPr>
              <w:pStyle w:val="20"/>
              <w:spacing w:after="180"/>
              <w:rPr>
                <w:lang w:eastAsia="zh-CN"/>
              </w:rPr>
            </w:pPr>
            <w:r>
              <w:rPr>
                <w:lang w:eastAsia="zh-CN"/>
              </w:rPr>
              <w:t>Unit: dB</w:t>
            </w:r>
          </w:p>
        </w:tc>
        <w:tc>
          <w:tcPr>
            <w:tcW w:w="1801" w:type="dxa"/>
            <w:noWrap w:val="0"/>
            <w:vAlign w:val="top"/>
          </w:tcPr>
          <w:p w14:paraId="6A29444C">
            <w:pPr>
              <w:pStyle w:val="20"/>
              <w:spacing w:after="180"/>
              <w:rPr>
                <w:lang w:eastAsia="zh-CN"/>
              </w:rPr>
            </w:pPr>
            <w:r>
              <w:rPr>
                <w:lang w:eastAsia="zh-CN"/>
              </w:rPr>
              <w:t>Unit: kHz</w:t>
            </w:r>
          </w:p>
        </w:tc>
        <w:tc>
          <w:tcPr>
            <w:tcW w:w="2347" w:type="dxa"/>
            <w:noWrap w:val="0"/>
            <w:vAlign w:val="top"/>
          </w:tcPr>
          <w:p w14:paraId="61DC198B">
            <w:pPr>
              <w:pStyle w:val="20"/>
              <w:spacing w:after="180"/>
              <w:rPr>
                <w:lang w:eastAsia="zh-CN"/>
              </w:rPr>
            </w:pPr>
            <w:r>
              <w:rPr>
                <w:lang w:eastAsia="zh-CN"/>
              </w:rPr>
              <w:t>Unit: RB</w:t>
            </w:r>
          </w:p>
        </w:tc>
      </w:tr>
      <w:tr w14:paraId="2865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B6A3560">
            <w:pPr>
              <w:pStyle w:val="21"/>
              <w:spacing w:after="180"/>
            </w:pPr>
            <w:r>
              <w:rPr>
                <w:lang w:eastAsia="zh-CN"/>
              </w:rPr>
              <w:t>9</w:t>
            </w:r>
          </w:p>
        </w:tc>
        <w:tc>
          <w:tcPr>
            <w:tcW w:w="2074" w:type="dxa"/>
            <w:vMerge w:val="restart"/>
            <w:noWrap w:val="0"/>
            <w:vAlign w:val="top"/>
          </w:tcPr>
          <w:p w14:paraId="10B7D7EF">
            <w:pPr>
              <w:pStyle w:val="21"/>
              <w:spacing w:after="180"/>
            </w:pPr>
            <w:r>
              <w:t>≥ -13</w:t>
            </w:r>
          </w:p>
        </w:tc>
        <w:tc>
          <w:tcPr>
            <w:tcW w:w="1801" w:type="dxa"/>
            <w:vMerge w:val="restart"/>
            <w:noWrap w:val="0"/>
            <w:vAlign w:val="top"/>
          </w:tcPr>
          <w:p w14:paraId="3019458B">
            <w:pPr>
              <w:pStyle w:val="21"/>
              <w:spacing w:after="180"/>
              <w:rPr>
                <w:lang w:eastAsia="zh-CN"/>
              </w:rPr>
            </w:pPr>
            <w:r>
              <w:rPr>
                <w:rFonts w:hint="eastAsia"/>
                <w:lang w:eastAsia="zh-CN"/>
              </w:rPr>
              <w:t>6</w:t>
            </w:r>
            <w:r>
              <w:rPr>
                <w:lang w:eastAsia="zh-CN"/>
              </w:rPr>
              <w:t>0</w:t>
            </w:r>
          </w:p>
        </w:tc>
        <w:tc>
          <w:tcPr>
            <w:tcW w:w="2347" w:type="dxa"/>
            <w:noWrap w:val="0"/>
            <w:vAlign w:val="top"/>
          </w:tcPr>
          <w:p w14:paraId="5AFB4663">
            <w:pPr>
              <w:pStyle w:val="21"/>
              <w:spacing w:after="180"/>
            </w:pPr>
            <w:r>
              <w:rPr>
                <w:lang w:eastAsia="zh-CN"/>
              </w:rPr>
              <w:t xml:space="preserve"> 132 ≤ BW ≤ 168</w:t>
            </w:r>
          </w:p>
        </w:tc>
      </w:tr>
      <w:tr w14:paraId="540F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17D8E37">
            <w:pPr>
              <w:pStyle w:val="21"/>
              <w:spacing w:after="180"/>
              <w:rPr>
                <w:lang w:eastAsia="zh-CN"/>
              </w:rPr>
            </w:pPr>
            <w:r>
              <w:rPr>
                <w:lang w:eastAsia="zh-CN"/>
              </w:rPr>
              <w:t>8</w:t>
            </w:r>
          </w:p>
        </w:tc>
        <w:tc>
          <w:tcPr>
            <w:tcW w:w="2074" w:type="dxa"/>
            <w:vMerge w:val="continue"/>
            <w:noWrap w:val="0"/>
            <w:vAlign w:val="top"/>
          </w:tcPr>
          <w:p w14:paraId="436A7192">
            <w:pPr>
              <w:pStyle w:val="21"/>
              <w:spacing w:after="180"/>
            </w:pPr>
          </w:p>
        </w:tc>
        <w:tc>
          <w:tcPr>
            <w:tcW w:w="1801" w:type="dxa"/>
            <w:vMerge w:val="continue"/>
            <w:noWrap w:val="0"/>
            <w:vAlign w:val="top"/>
          </w:tcPr>
          <w:p w14:paraId="1A3CCDB7">
            <w:pPr>
              <w:pStyle w:val="21"/>
              <w:spacing w:after="180"/>
            </w:pPr>
          </w:p>
        </w:tc>
        <w:tc>
          <w:tcPr>
            <w:tcW w:w="2347" w:type="dxa"/>
            <w:noWrap w:val="0"/>
            <w:vAlign w:val="top"/>
          </w:tcPr>
          <w:p w14:paraId="4FDA71C5">
            <w:pPr>
              <w:pStyle w:val="21"/>
              <w:spacing w:after="180"/>
              <w:rPr>
                <w:lang w:eastAsia="zh-CN"/>
              </w:rPr>
            </w:pPr>
            <w:r>
              <w:rPr>
                <w:lang w:eastAsia="zh-CN"/>
              </w:rPr>
              <w:t>176 ≤ BW</w:t>
            </w:r>
          </w:p>
        </w:tc>
      </w:tr>
      <w:tr w14:paraId="0958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F8BDD47">
            <w:pPr>
              <w:pStyle w:val="21"/>
              <w:spacing w:after="180"/>
            </w:pPr>
            <w:r>
              <w:rPr>
                <w:lang w:eastAsia="zh-CN"/>
              </w:rPr>
              <w:t>9</w:t>
            </w:r>
          </w:p>
        </w:tc>
        <w:tc>
          <w:tcPr>
            <w:tcW w:w="2074" w:type="dxa"/>
            <w:vMerge w:val="restart"/>
            <w:noWrap w:val="0"/>
            <w:vAlign w:val="top"/>
          </w:tcPr>
          <w:p w14:paraId="24A62805">
            <w:pPr>
              <w:pStyle w:val="21"/>
              <w:spacing w:after="180"/>
            </w:pPr>
            <w:r>
              <w:t>≥ +3</w:t>
            </w:r>
          </w:p>
        </w:tc>
        <w:tc>
          <w:tcPr>
            <w:tcW w:w="1801" w:type="dxa"/>
            <w:vMerge w:val="continue"/>
            <w:noWrap w:val="0"/>
            <w:vAlign w:val="top"/>
          </w:tcPr>
          <w:p w14:paraId="20B5A442">
            <w:pPr>
              <w:pStyle w:val="21"/>
              <w:spacing w:after="180"/>
            </w:pPr>
          </w:p>
        </w:tc>
        <w:tc>
          <w:tcPr>
            <w:tcW w:w="2347" w:type="dxa"/>
            <w:noWrap w:val="0"/>
            <w:vAlign w:val="top"/>
          </w:tcPr>
          <w:p w14:paraId="48F3CD44">
            <w:pPr>
              <w:pStyle w:val="21"/>
              <w:spacing w:after="180"/>
            </w:pPr>
            <w:r>
              <w:rPr>
                <w:lang w:eastAsia="zh-CN"/>
              </w:rPr>
              <w:t>132 ≤ BW ≤ 168</w:t>
            </w:r>
          </w:p>
        </w:tc>
      </w:tr>
      <w:tr w14:paraId="6D03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286996A">
            <w:pPr>
              <w:pStyle w:val="21"/>
              <w:spacing w:after="180"/>
              <w:rPr>
                <w:lang w:eastAsia="zh-CN"/>
              </w:rPr>
            </w:pPr>
            <w:r>
              <w:rPr>
                <w:lang w:eastAsia="zh-CN"/>
              </w:rPr>
              <w:t>8</w:t>
            </w:r>
          </w:p>
        </w:tc>
        <w:tc>
          <w:tcPr>
            <w:tcW w:w="2074" w:type="dxa"/>
            <w:vMerge w:val="continue"/>
            <w:noWrap w:val="0"/>
            <w:vAlign w:val="top"/>
          </w:tcPr>
          <w:p w14:paraId="7E3E8A2F">
            <w:pPr>
              <w:pStyle w:val="21"/>
              <w:spacing w:after="180"/>
            </w:pPr>
          </w:p>
        </w:tc>
        <w:tc>
          <w:tcPr>
            <w:tcW w:w="1801" w:type="dxa"/>
            <w:vMerge w:val="continue"/>
            <w:noWrap w:val="0"/>
            <w:vAlign w:val="top"/>
          </w:tcPr>
          <w:p w14:paraId="59A1C249">
            <w:pPr>
              <w:pStyle w:val="21"/>
              <w:spacing w:after="180"/>
            </w:pPr>
          </w:p>
        </w:tc>
        <w:tc>
          <w:tcPr>
            <w:tcW w:w="2347" w:type="dxa"/>
            <w:noWrap w:val="0"/>
            <w:vAlign w:val="top"/>
          </w:tcPr>
          <w:p w14:paraId="5B6A8AAC">
            <w:pPr>
              <w:pStyle w:val="21"/>
              <w:spacing w:after="180"/>
              <w:rPr>
                <w:lang w:eastAsia="zh-CN"/>
              </w:rPr>
            </w:pPr>
            <w:r>
              <w:rPr>
                <w:lang w:eastAsia="zh-CN"/>
              </w:rPr>
              <w:t>176 ≤ BW</w:t>
            </w:r>
          </w:p>
        </w:tc>
      </w:tr>
      <w:tr w14:paraId="6CD5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D03302D">
            <w:pPr>
              <w:pStyle w:val="21"/>
              <w:spacing w:after="180"/>
              <w:rPr>
                <w:lang w:eastAsia="zh-CN"/>
              </w:rPr>
            </w:pPr>
            <w:r>
              <w:rPr>
                <w:lang w:eastAsia="zh-CN"/>
              </w:rPr>
              <w:t>22</w:t>
            </w:r>
          </w:p>
        </w:tc>
        <w:tc>
          <w:tcPr>
            <w:tcW w:w="2074" w:type="dxa"/>
            <w:vMerge w:val="restart"/>
            <w:noWrap w:val="0"/>
            <w:vAlign w:val="top"/>
          </w:tcPr>
          <w:p w14:paraId="777D52CB">
            <w:pPr>
              <w:pStyle w:val="21"/>
              <w:spacing w:after="180"/>
            </w:pPr>
            <w:r>
              <w:t>≥ -13</w:t>
            </w:r>
          </w:p>
        </w:tc>
        <w:tc>
          <w:tcPr>
            <w:tcW w:w="1801" w:type="dxa"/>
            <w:vMerge w:val="restart"/>
            <w:noWrap w:val="0"/>
            <w:vAlign w:val="top"/>
          </w:tcPr>
          <w:p w14:paraId="42193662">
            <w:pPr>
              <w:pStyle w:val="21"/>
              <w:spacing w:after="180"/>
              <w:rPr>
                <w:lang w:eastAsia="zh-CN"/>
              </w:rPr>
            </w:pPr>
            <w:r>
              <w:rPr>
                <w:lang w:eastAsia="zh-CN"/>
              </w:rPr>
              <w:t>120</w:t>
            </w:r>
          </w:p>
        </w:tc>
        <w:tc>
          <w:tcPr>
            <w:tcW w:w="2347" w:type="dxa"/>
            <w:noWrap w:val="0"/>
            <w:vAlign w:val="top"/>
          </w:tcPr>
          <w:p w14:paraId="510638C0">
            <w:pPr>
              <w:pStyle w:val="21"/>
              <w:spacing w:after="180"/>
              <w:rPr>
                <w:lang w:eastAsia="zh-CN"/>
              </w:rPr>
            </w:pPr>
            <w:r>
              <w:rPr>
                <w:lang w:eastAsia="zh-CN"/>
              </w:rPr>
              <w:t xml:space="preserve"> 32 ≤ BW ≤ 40</w:t>
            </w:r>
          </w:p>
        </w:tc>
      </w:tr>
      <w:tr w14:paraId="7BAB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C2835CF">
            <w:pPr>
              <w:pStyle w:val="21"/>
              <w:spacing w:after="180"/>
            </w:pPr>
            <w:r>
              <w:rPr>
                <w:lang w:eastAsia="zh-CN"/>
              </w:rPr>
              <w:t>15</w:t>
            </w:r>
          </w:p>
        </w:tc>
        <w:tc>
          <w:tcPr>
            <w:tcW w:w="2074" w:type="dxa"/>
            <w:vMerge w:val="continue"/>
            <w:noWrap w:val="0"/>
            <w:vAlign w:val="top"/>
          </w:tcPr>
          <w:p w14:paraId="629D6647">
            <w:pPr>
              <w:pStyle w:val="21"/>
              <w:spacing w:after="180"/>
            </w:pPr>
          </w:p>
        </w:tc>
        <w:tc>
          <w:tcPr>
            <w:tcW w:w="1801" w:type="dxa"/>
            <w:vMerge w:val="continue"/>
            <w:noWrap w:val="0"/>
            <w:vAlign w:val="top"/>
          </w:tcPr>
          <w:p w14:paraId="19ED4850">
            <w:pPr>
              <w:pStyle w:val="21"/>
              <w:spacing w:after="180"/>
            </w:pPr>
          </w:p>
        </w:tc>
        <w:tc>
          <w:tcPr>
            <w:tcW w:w="2347" w:type="dxa"/>
            <w:noWrap w:val="0"/>
            <w:vAlign w:val="top"/>
          </w:tcPr>
          <w:p w14:paraId="033132CB">
            <w:pPr>
              <w:pStyle w:val="21"/>
              <w:spacing w:after="180"/>
            </w:pPr>
            <w:r>
              <w:rPr>
                <w:lang w:eastAsia="zh-CN"/>
              </w:rPr>
              <w:t xml:space="preserve"> 44 ≤ BW ≤ 84</w:t>
            </w:r>
          </w:p>
        </w:tc>
      </w:tr>
      <w:tr w14:paraId="568C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416039AE">
            <w:pPr>
              <w:pStyle w:val="21"/>
              <w:spacing w:after="180"/>
              <w:rPr>
                <w:lang w:eastAsia="zh-CN"/>
              </w:rPr>
            </w:pPr>
            <w:r>
              <w:rPr>
                <w:lang w:eastAsia="zh-CN"/>
              </w:rPr>
              <w:t>8</w:t>
            </w:r>
          </w:p>
        </w:tc>
        <w:tc>
          <w:tcPr>
            <w:tcW w:w="2074" w:type="dxa"/>
            <w:vMerge w:val="continue"/>
            <w:noWrap w:val="0"/>
            <w:vAlign w:val="top"/>
          </w:tcPr>
          <w:p w14:paraId="3B781A05">
            <w:pPr>
              <w:pStyle w:val="21"/>
              <w:spacing w:after="180"/>
            </w:pPr>
          </w:p>
        </w:tc>
        <w:tc>
          <w:tcPr>
            <w:tcW w:w="1801" w:type="dxa"/>
            <w:vMerge w:val="continue"/>
            <w:noWrap w:val="0"/>
            <w:vAlign w:val="top"/>
          </w:tcPr>
          <w:p w14:paraId="7C4E983E">
            <w:pPr>
              <w:pStyle w:val="21"/>
              <w:spacing w:after="180"/>
            </w:pPr>
          </w:p>
        </w:tc>
        <w:tc>
          <w:tcPr>
            <w:tcW w:w="2347" w:type="dxa"/>
            <w:noWrap w:val="0"/>
            <w:vAlign w:val="top"/>
          </w:tcPr>
          <w:p w14:paraId="4B6DD37E">
            <w:pPr>
              <w:pStyle w:val="21"/>
              <w:spacing w:after="180"/>
              <w:rPr>
                <w:lang w:eastAsia="zh-CN"/>
              </w:rPr>
            </w:pPr>
            <w:r>
              <w:rPr>
                <w:lang w:eastAsia="zh-CN"/>
              </w:rPr>
              <w:t>88 ≤ BW</w:t>
            </w:r>
          </w:p>
        </w:tc>
      </w:tr>
      <w:tr w14:paraId="1841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8060D08">
            <w:pPr>
              <w:pStyle w:val="21"/>
              <w:spacing w:after="180"/>
              <w:rPr>
                <w:lang w:eastAsia="zh-CN"/>
              </w:rPr>
            </w:pPr>
            <w:r>
              <w:rPr>
                <w:lang w:eastAsia="zh-CN"/>
              </w:rPr>
              <w:t>16</w:t>
            </w:r>
          </w:p>
        </w:tc>
        <w:tc>
          <w:tcPr>
            <w:tcW w:w="2074" w:type="dxa"/>
            <w:vMerge w:val="restart"/>
            <w:noWrap w:val="0"/>
            <w:vAlign w:val="top"/>
          </w:tcPr>
          <w:p w14:paraId="5C8E65C6">
            <w:pPr>
              <w:pStyle w:val="21"/>
              <w:spacing w:after="180"/>
            </w:pPr>
            <w:r>
              <w:t>≥ +3</w:t>
            </w:r>
          </w:p>
        </w:tc>
        <w:tc>
          <w:tcPr>
            <w:tcW w:w="1801" w:type="dxa"/>
            <w:vMerge w:val="continue"/>
            <w:noWrap w:val="0"/>
            <w:vAlign w:val="top"/>
          </w:tcPr>
          <w:p w14:paraId="5186E53A">
            <w:pPr>
              <w:pStyle w:val="21"/>
              <w:spacing w:after="180"/>
            </w:pPr>
          </w:p>
        </w:tc>
        <w:tc>
          <w:tcPr>
            <w:tcW w:w="2347" w:type="dxa"/>
            <w:noWrap w:val="0"/>
            <w:vAlign w:val="top"/>
          </w:tcPr>
          <w:p w14:paraId="3BB4CD17">
            <w:pPr>
              <w:pStyle w:val="21"/>
              <w:spacing w:after="180"/>
              <w:rPr>
                <w:lang w:eastAsia="zh-CN"/>
              </w:rPr>
            </w:pPr>
            <w:r>
              <w:rPr>
                <w:lang w:eastAsia="zh-CN"/>
              </w:rPr>
              <w:t xml:space="preserve"> 32 ≤ BW ≤ 40</w:t>
            </w:r>
          </w:p>
        </w:tc>
      </w:tr>
      <w:tr w14:paraId="555C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65AAD6D">
            <w:pPr>
              <w:pStyle w:val="21"/>
              <w:spacing w:after="180"/>
            </w:pPr>
            <w:r>
              <w:rPr>
                <w:lang w:eastAsia="zh-CN"/>
              </w:rPr>
              <w:t>9</w:t>
            </w:r>
          </w:p>
        </w:tc>
        <w:tc>
          <w:tcPr>
            <w:tcW w:w="2074" w:type="dxa"/>
            <w:vMerge w:val="continue"/>
            <w:noWrap w:val="0"/>
            <w:vAlign w:val="top"/>
          </w:tcPr>
          <w:p w14:paraId="3BCB68FC">
            <w:pPr>
              <w:pStyle w:val="21"/>
              <w:spacing w:after="180"/>
            </w:pPr>
          </w:p>
        </w:tc>
        <w:tc>
          <w:tcPr>
            <w:tcW w:w="1801" w:type="dxa"/>
            <w:vMerge w:val="continue"/>
            <w:noWrap w:val="0"/>
            <w:vAlign w:val="top"/>
          </w:tcPr>
          <w:p w14:paraId="212C39E2">
            <w:pPr>
              <w:pStyle w:val="21"/>
              <w:spacing w:after="180"/>
            </w:pPr>
          </w:p>
        </w:tc>
        <w:tc>
          <w:tcPr>
            <w:tcW w:w="2347" w:type="dxa"/>
            <w:noWrap w:val="0"/>
            <w:vAlign w:val="top"/>
          </w:tcPr>
          <w:p w14:paraId="3C9C3797">
            <w:pPr>
              <w:pStyle w:val="21"/>
              <w:spacing w:after="180"/>
            </w:pPr>
            <w:r>
              <w:rPr>
                <w:lang w:eastAsia="zh-CN"/>
              </w:rPr>
              <w:t xml:space="preserve"> 44 ≤ BW ≤ 84</w:t>
            </w:r>
          </w:p>
        </w:tc>
      </w:tr>
      <w:tr w14:paraId="6804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4A3C8DC8">
            <w:pPr>
              <w:pStyle w:val="21"/>
              <w:spacing w:after="180"/>
              <w:rPr>
                <w:lang w:eastAsia="zh-CN"/>
              </w:rPr>
            </w:pPr>
            <w:r>
              <w:rPr>
                <w:lang w:eastAsia="zh-CN"/>
              </w:rPr>
              <w:t>8</w:t>
            </w:r>
          </w:p>
        </w:tc>
        <w:tc>
          <w:tcPr>
            <w:tcW w:w="2074" w:type="dxa"/>
            <w:vMerge w:val="continue"/>
            <w:noWrap w:val="0"/>
            <w:vAlign w:val="top"/>
          </w:tcPr>
          <w:p w14:paraId="6241B1E1">
            <w:pPr>
              <w:pStyle w:val="21"/>
              <w:spacing w:after="180"/>
            </w:pPr>
          </w:p>
        </w:tc>
        <w:tc>
          <w:tcPr>
            <w:tcW w:w="1801" w:type="dxa"/>
            <w:vMerge w:val="continue"/>
            <w:noWrap w:val="0"/>
            <w:vAlign w:val="top"/>
          </w:tcPr>
          <w:p w14:paraId="29FC783F">
            <w:pPr>
              <w:pStyle w:val="21"/>
              <w:spacing w:after="180"/>
            </w:pPr>
          </w:p>
        </w:tc>
        <w:tc>
          <w:tcPr>
            <w:tcW w:w="2347" w:type="dxa"/>
            <w:noWrap w:val="0"/>
            <w:vAlign w:val="top"/>
          </w:tcPr>
          <w:p w14:paraId="2893E8B7">
            <w:pPr>
              <w:pStyle w:val="21"/>
              <w:spacing w:after="180"/>
              <w:rPr>
                <w:lang w:eastAsia="zh-CN"/>
              </w:rPr>
            </w:pPr>
            <w:r>
              <w:rPr>
                <w:lang w:eastAsia="zh-CN"/>
              </w:rPr>
              <w:t>88 ≤ BW</w:t>
            </w:r>
          </w:p>
        </w:tc>
      </w:tr>
    </w:tbl>
    <w:p w14:paraId="5C984FFA">
      <w:pPr>
        <w:spacing w:after="180" w:line="240" w:lineRule="exact"/>
        <w:rPr>
          <w:rFonts w:hint="default" w:ascii="Times New Roman" w:hAnsi="Times New Roman" w:eastAsia="等线"/>
          <w:bCs/>
          <w:iCs/>
          <w:sz w:val="20"/>
          <w:szCs w:val="20"/>
          <w:lang w:val="en-US" w:eastAsia="zh-CN"/>
        </w:rPr>
      </w:pPr>
    </w:p>
    <w:p w14:paraId="341FC61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discussion with companies in last meeting, some companies propose not to define requirements for gNB Rx-Tx time difference for case 3a, the reason is that case 3a (gNB Rx-Tx time difference) need to be coupled with case 2a (UE Rx-Tx time difference). The argument is that positioning with RTT method is based on gNB Rx-Tx time difference and UE Rx-Tx time difference. If gNB Rx-Tx time difference is the output of AI/ML model, the UE Rx-Tx time difference also need to be the output of AI/ML model. Since case 2a is deprioritized, and not discussed in RAN1 in Q4, 2024. It is also not possible teo define requirements for gNB Rx-Tx time difference for case 3a. We have different views. There is no restriction that both UE Rx-Tx time difference and gNB Rx-Tx time difference need to be alligned on whether AI/ML model is in use or not. Also RAN1 has discussed this issue and the common understanding that RAN1 proceed with the investigation assuming each case is deployed individually [6].   </w:t>
      </w:r>
    </w:p>
    <w:p w14:paraId="1F997066">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Observation 1: RAN1 common understanding is that RAN1 proceed with the investigation assuming each case is deployed individually, which means that </w:t>
      </w:r>
      <w:r>
        <w:rPr>
          <w:rFonts w:hint="default" w:ascii="Times New Roman" w:hAnsi="Times New Roman" w:cs="Times New Roman"/>
          <w:b/>
          <w:bCs w:val="0"/>
          <w:i/>
          <w:iCs w:val="0"/>
          <w:sz w:val="20"/>
          <w:szCs w:val="20"/>
          <w:lang w:val="en-US"/>
        </w:rPr>
        <w:t>Case 2a and Case 3a can be used individually</w:t>
      </w:r>
      <w:r>
        <w:rPr>
          <w:rFonts w:hint="default" w:ascii="Times New Roman" w:hAnsi="Times New Roman" w:cs="Times New Roman"/>
          <w:b/>
          <w:bCs w:val="0"/>
          <w:i/>
          <w:iCs w:val="0"/>
          <w:sz w:val="20"/>
          <w:szCs w:val="20"/>
          <w:lang w:val="en-US" w:eastAsia="zh-CN"/>
        </w:rPr>
        <w:t xml:space="preserve">. </w:t>
      </w:r>
    </w:p>
    <w:p w14:paraId="1443DF0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legacy gNB Rx-Tx time difference, reporting mapping and measurement accuracy requirements are defined, which can be reused for case 3a/3b.</w:t>
      </w:r>
    </w:p>
    <w:p w14:paraId="612B22F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case 3a/3b, it is proposed to reuse legacy accuracy requirements for </w:t>
      </w:r>
      <w:r>
        <w:rPr>
          <w:rFonts w:hint="eastAsia" w:ascii="Times New Roman" w:hAnsi="Times New Roman" w:cs="Times New Roman"/>
          <w:b/>
          <w:bCs w:val="0"/>
          <w:i/>
          <w:iCs w:val="0"/>
          <w:sz w:val="20"/>
          <w:szCs w:val="20"/>
          <w:lang w:val="en-US" w:eastAsia="zh-CN"/>
        </w:rPr>
        <w:t>gNB Rx-Tx time difference.</w:t>
      </w:r>
    </w:p>
    <w:p w14:paraId="34C6226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AC2D3A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RRM requirements for positioning. The proposals are:</w:t>
      </w:r>
    </w:p>
    <w:p w14:paraId="67454D39">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requirements. </w:t>
      </w:r>
      <w:r>
        <w:rPr>
          <w:rFonts w:hint="eastAsia" w:ascii="Times New Roman" w:hAnsi="Times New Roman"/>
          <w:b/>
          <w:bCs w:val="0"/>
          <w:i/>
          <w:iCs w:val="0"/>
          <w:sz w:val="20"/>
          <w:szCs w:val="20"/>
          <w:u w:val="none"/>
          <w:lang w:val="en-US" w:eastAsia="zh-CN"/>
        </w:rPr>
        <w:t>At least positioning accuracy can be defined, which is the difference between ground truth (real position) and reported position.</w:t>
      </w:r>
      <w:r>
        <w:rPr>
          <w:rFonts w:hint="eastAsia" w:ascii="Times New Roman" w:hAnsi="Times New Roman" w:eastAsia="等线" w:cs="Times New Roman"/>
          <w:b/>
          <w:bCs w:val="0"/>
          <w:i/>
          <w:iCs w:val="0"/>
          <w:sz w:val="20"/>
          <w:szCs w:val="20"/>
          <w:u w:val="none"/>
          <w:lang w:val="en-US" w:eastAsia="zh-CN"/>
        </w:rPr>
        <w:t xml:space="preserve"> </w:t>
      </w:r>
    </w:p>
    <w:p w14:paraId="0C67A4D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case 3a/3b, in addition to UL-RTOA and UL SRS-RSRPP, it is proposed to reuse legacy report mapping for UL SRS-RSRP.</w:t>
      </w:r>
    </w:p>
    <w:p w14:paraId="5413E914">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Observation 1: RAN1 common understanding is that RAN1 proceed with the investigation assuming each case is deployed individually, which means that </w:t>
      </w:r>
      <w:r>
        <w:rPr>
          <w:rFonts w:hint="default" w:ascii="Times New Roman" w:hAnsi="Times New Roman" w:cs="Times New Roman"/>
          <w:b/>
          <w:bCs w:val="0"/>
          <w:i/>
          <w:iCs w:val="0"/>
          <w:sz w:val="20"/>
          <w:szCs w:val="20"/>
          <w:lang w:val="en-US"/>
        </w:rPr>
        <w:t>Case 2a and Case 3a can be used individually</w:t>
      </w:r>
      <w:r>
        <w:rPr>
          <w:rFonts w:hint="default" w:ascii="Times New Roman" w:hAnsi="Times New Roman" w:cs="Times New Roman"/>
          <w:b/>
          <w:bCs w:val="0"/>
          <w:i/>
          <w:iCs w:val="0"/>
          <w:sz w:val="20"/>
          <w:szCs w:val="20"/>
          <w:lang w:val="en-US" w:eastAsia="zh-CN"/>
        </w:rPr>
        <w:t xml:space="preserve">. </w:t>
      </w:r>
    </w:p>
    <w:p w14:paraId="71842DA4">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3: for case 3a/3b, it is proposed to reuse legacy accuracy requirements for </w:t>
      </w:r>
      <w:r>
        <w:rPr>
          <w:rFonts w:hint="eastAsia" w:ascii="Times New Roman" w:hAnsi="Times New Roman" w:cs="Times New Roman"/>
          <w:b/>
          <w:bCs w:val="0"/>
          <w:i/>
          <w:iCs w:val="0"/>
          <w:sz w:val="20"/>
          <w:szCs w:val="20"/>
          <w:lang w:val="en-US" w:eastAsia="zh-CN"/>
        </w:rPr>
        <w:t>gNB Rx-Tx time difference.</w:t>
      </w:r>
    </w:p>
    <w:p w14:paraId="670EA780">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4B7F904">
      <w:pPr>
        <w:pStyle w:val="17"/>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22D4C8">
      <w:pPr>
        <w:pStyle w:val="17"/>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4B1FD71B">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4401E20B">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597876BB">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46D50C2">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959D143">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2EE5793">
      <w:pPr>
        <w:pStyle w:val="17"/>
        <w:framePr w:wrap="auto" w:vAnchor="margin" w:hAnchor="text" w:yAlign="inline"/>
        <w:numPr>
          <w:ilvl w:val="0"/>
          <w:numId w:val="1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8EF2125">
      <w:pPr>
        <w:pStyle w:val="17"/>
        <w:framePr w:wrap="auto" w:vAnchor="margin" w:hAnchor="text" w:yAlign="inline"/>
        <w:numPr>
          <w:ilvl w:val="0"/>
          <w:numId w:val="15"/>
        </w:numPr>
        <w:ind w:right="400"/>
        <w:jc w:val="both"/>
        <w:rPr>
          <w:rFonts w:ascii="Times" w:hAnsi="Times" w:eastAsia="宋体"/>
          <w:b w:val="0"/>
          <w:sz w:val="20"/>
          <w:lang w:eastAsia="zh-CN"/>
        </w:rPr>
      </w:pPr>
      <w:r>
        <w:rPr>
          <w:rFonts w:hint="eastAsia" w:ascii="Times" w:hAnsi="Times" w:eastAsia="宋体"/>
          <w:b w:val="0"/>
          <w:sz w:val="20"/>
          <w:lang w:eastAsia="zh-CN"/>
        </w:rPr>
        <w:t>R1-2405389</w:t>
      </w:r>
      <w:r>
        <w:rPr>
          <w:rFonts w:hint="eastAsia" w:ascii="Times" w:hAnsi="Times" w:eastAsia="宋体"/>
          <w:b w:val="0"/>
          <w:sz w:val="20"/>
          <w:lang w:val="en-US" w:eastAsia="zh-CN"/>
        </w:rPr>
        <w:t>, Summary #5 of specification support for positioning accuracy enhancement</w:t>
      </w:r>
    </w:p>
    <w:p w14:paraId="3D012058">
      <w:pPr>
        <w:pStyle w:val="17"/>
        <w:framePr w:wrap="auto" w:vAnchor="margin" w:hAnchor="text" w:yAlign="inline"/>
        <w:ind w:right="400"/>
        <w:jc w:val="both"/>
        <w:rPr>
          <w:rFonts w:ascii="Times" w:hAnsi="Times" w:eastAsia="宋体"/>
          <w:b w:val="0"/>
          <w:sz w:val="20"/>
          <w:lang w:eastAsia="zh-CN"/>
        </w:rPr>
      </w:pPr>
    </w:p>
    <w:p w14:paraId="26B59D20">
      <w:pPr>
        <w:pStyle w:val="17"/>
        <w:framePr w:wrap="auto" w:vAnchor="margin" w:hAnchor="text" w:yAlign="inline"/>
        <w:ind w:right="400"/>
        <w:jc w:val="both"/>
        <w:rPr>
          <w:rFonts w:hint="eastAsia" w:ascii="Times" w:hAnsi="Times" w:eastAsia="宋体"/>
          <w:b w:val="0"/>
          <w:sz w:val="20"/>
          <w:lang w:val="en-US" w:eastAsia="zh-CN"/>
        </w:rPr>
      </w:pPr>
    </w:p>
    <w:p w14:paraId="3F29A040"/>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42E10A7"/>
    <w:multiLevelType w:val="multilevel"/>
    <w:tmpl w:val="042E10A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DD16DCB"/>
    <w:multiLevelType w:val="singleLevel"/>
    <w:tmpl w:val="0DD16DCB"/>
    <w:lvl w:ilvl="0" w:tentative="0">
      <w:start w:val="5"/>
      <w:numFmt w:val="decimal"/>
      <w:suff w:val="space"/>
      <w:lvlText w:val="[%1]"/>
      <w:lvlJc w:val="left"/>
    </w:lvl>
  </w:abstractNum>
  <w:abstractNum w:abstractNumId="3">
    <w:nsid w:val="1D44622A"/>
    <w:multiLevelType w:val="multilevel"/>
    <w:tmpl w:val="1D4462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FE22203"/>
    <w:multiLevelType w:val="multilevel"/>
    <w:tmpl w:val="2FE2220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B4C54E3"/>
    <w:multiLevelType w:val="multilevel"/>
    <w:tmpl w:val="4B4C54E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FBB3F6D"/>
    <w:multiLevelType w:val="singleLevel"/>
    <w:tmpl w:val="7FBB3F6D"/>
    <w:lvl w:ilvl="0" w:tentative="0">
      <w:start w:val="1"/>
      <w:numFmt w:val="bullet"/>
      <w:lvlText w:val=""/>
      <w:lvlJc w:val="left"/>
      <w:pPr>
        <w:tabs>
          <w:tab w:val="left" w:pos="420"/>
        </w:tabs>
        <w:ind w:left="840" w:hanging="420"/>
      </w:pPr>
      <w:rPr>
        <w:rFonts w:hint="default" w:ascii="Wingdings" w:hAnsi="Wingdings"/>
      </w:rPr>
    </w:lvl>
  </w:abstractNum>
  <w:num w:numId="1">
    <w:abstractNumId w:val="13"/>
  </w:num>
  <w:num w:numId="2">
    <w:abstractNumId w:val="7"/>
  </w:num>
  <w:num w:numId="3">
    <w:abstractNumId w:val="4"/>
  </w:num>
  <w:num w:numId="4">
    <w:abstractNumId w:val="11"/>
  </w:num>
  <w:num w:numId="5">
    <w:abstractNumId w:val="9"/>
  </w:num>
  <w:num w:numId="6">
    <w:abstractNumId w:val="10"/>
  </w:num>
  <w:num w:numId="7">
    <w:abstractNumId w:val="3"/>
  </w:num>
  <w:num w:numId="8">
    <w:abstractNumId w:val="6"/>
  </w:num>
  <w:num w:numId="9">
    <w:abstractNumId w:val="14"/>
  </w:num>
  <w:num w:numId="10">
    <w:abstractNumId w:val="8"/>
  </w:num>
  <w:num w:numId="11">
    <w:abstractNumId w:val="1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4DF8"/>
    <w:rsid w:val="08357123"/>
    <w:rsid w:val="0A12645E"/>
    <w:rsid w:val="0B5B2331"/>
    <w:rsid w:val="0C7C4062"/>
    <w:rsid w:val="0EC869C6"/>
    <w:rsid w:val="0FE50EF5"/>
    <w:rsid w:val="107F695B"/>
    <w:rsid w:val="11C112E5"/>
    <w:rsid w:val="15685863"/>
    <w:rsid w:val="15C5068C"/>
    <w:rsid w:val="19AD6153"/>
    <w:rsid w:val="1A4B52AF"/>
    <w:rsid w:val="1AE254F2"/>
    <w:rsid w:val="308E7578"/>
    <w:rsid w:val="3A1815FF"/>
    <w:rsid w:val="3DEF01B7"/>
    <w:rsid w:val="4D3D03C8"/>
    <w:rsid w:val="54E439E0"/>
    <w:rsid w:val="5C790B4E"/>
    <w:rsid w:val="60182E76"/>
    <w:rsid w:val="6D205895"/>
    <w:rsid w:val="704E733C"/>
    <w:rsid w:val="72A94019"/>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List 2"/>
    <w:basedOn w:val="1"/>
    <w:unhideWhenUsed/>
    <w:qFormat/>
    <w:uiPriority w:val="99"/>
    <w:pPr>
      <w:ind w:left="100" w:leftChars="200" w:hanging="200" w:hangingChars="200"/>
      <w:contextualSpacing/>
    </w:pPr>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1">
    <w:name w:val="List"/>
    <w:basedOn w:val="1"/>
    <w:unhideWhenUsed/>
    <w:qFormat/>
    <w:uiPriority w:val="99"/>
    <w:pPr>
      <w:ind w:left="200" w:hanging="200" w:hangingChars="200"/>
      <w:contextualSpacing/>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11"/>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9">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0">
    <w:name w:val="TAH"/>
    <w:basedOn w:val="21"/>
    <w:qFormat/>
    <w:uiPriority w:val="0"/>
    <w:rPr>
      <w:b/>
      <w:bCs/>
    </w:rPr>
  </w:style>
  <w:style w:type="paragraph" w:customStyle="1" w:styleId="21">
    <w:name w:val="TAC"/>
    <w:basedOn w:val="22"/>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22">
    <w:name w:val="TAL"/>
    <w:basedOn w:val="1"/>
    <w:qFormat/>
    <w:uiPriority w:val="0"/>
    <w:pPr>
      <w:keepNext/>
      <w:keepLines/>
      <w:widowControl/>
      <w:jc w:val="left"/>
    </w:pPr>
    <w:rPr>
      <w:rFonts w:ascii="Arial" w:hAnsi="Arial"/>
      <w:kern w:val="0"/>
      <w:sz w:val="18"/>
      <w:szCs w:val="20"/>
      <w:lang w:val="en-GB" w:eastAsia="en-US"/>
    </w:rPr>
  </w:style>
  <w:style w:type="table" w:customStyle="1" w:styleId="23">
    <w:name w:val="Table Grid6"/>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2"/>
    <w:basedOn w:val="8"/>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5">
    <w:name w:val="B3"/>
    <w:basedOn w:val="1"/>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2025-02-07T08:44:50Z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